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DA" w:rsidRDefault="005D7B8A" w:rsidP="00604090">
      <w:pPr>
        <w:pStyle w:val="Heading1"/>
        <w:pBdr>
          <w:bottom w:val="none" w:sz="0" w:space="0" w:color="auto"/>
        </w:pBdr>
      </w:pPr>
      <w:bookmarkStart w:id="0" w:name="_GoBack"/>
      <w:bookmarkEnd w:id="0"/>
      <w:r>
        <w:t xml:space="preserve">Exercise Tangaroa </w:t>
      </w:r>
      <w:r w:rsidR="00F66403">
        <w:t xml:space="preserve">Welfare </w:t>
      </w:r>
      <w:r>
        <w:t xml:space="preserve">Participation </w:t>
      </w:r>
      <w:r w:rsidR="005C61C7">
        <w:t>Guide</w:t>
      </w:r>
    </w:p>
    <w:p w:rsidR="00443BB4" w:rsidRPr="007506C5" w:rsidRDefault="00443BB4" w:rsidP="007506C5">
      <w:pPr>
        <w:pStyle w:val="Tinyline"/>
        <w:numPr>
          <w:ilvl w:val="3"/>
          <w:numId w:val="10"/>
        </w:numPr>
        <w:rPr>
          <w:rFonts w:ascii="Arial" w:hAnsi="Arial"/>
        </w:rPr>
      </w:pPr>
    </w:p>
    <w:p w:rsidR="007506C5" w:rsidRPr="007506C5" w:rsidRDefault="007506C5" w:rsidP="007506C5">
      <w:pPr>
        <w:pStyle w:val="Tinyline"/>
        <w:numPr>
          <w:ilvl w:val="3"/>
          <w:numId w:val="10"/>
        </w:numPr>
        <w:rPr>
          <w:rFonts w:ascii="Arial" w:hAnsi="Arial"/>
        </w:rPr>
      </w:pPr>
    </w:p>
    <w:p w:rsidR="005D7B8A" w:rsidRPr="00030C62" w:rsidRDefault="003D21AE" w:rsidP="007506C5">
      <w:pPr>
        <w:pStyle w:val="Heading2"/>
        <w:spacing w:after="160"/>
        <w:rPr>
          <w:rFonts w:eastAsiaTheme="minorHAnsi"/>
        </w:rPr>
      </w:pPr>
      <w:r w:rsidRPr="00030C62">
        <w:rPr>
          <w:rFonts w:eastAsiaTheme="minorHAnsi"/>
        </w:rPr>
        <w:t>1.</w:t>
      </w:r>
      <w:r w:rsidR="00030C62" w:rsidRPr="00030C62">
        <w:rPr>
          <w:rFonts w:eastAsiaTheme="minorHAnsi"/>
        </w:rPr>
        <w:t>1</w:t>
      </w:r>
      <w:r w:rsidRPr="00030C62">
        <w:rPr>
          <w:rFonts w:eastAsiaTheme="minorHAnsi"/>
        </w:rPr>
        <w:t xml:space="preserve"> </w:t>
      </w:r>
      <w:r w:rsidR="00D42690" w:rsidRPr="00030C62">
        <w:rPr>
          <w:rFonts w:eastAsiaTheme="minorHAnsi"/>
        </w:rPr>
        <w:t>Exercise o</w:t>
      </w:r>
      <w:r w:rsidR="00F961C1" w:rsidRPr="00030C62">
        <w:rPr>
          <w:rFonts w:eastAsiaTheme="minorHAnsi"/>
        </w:rPr>
        <w:t>verview</w:t>
      </w:r>
    </w:p>
    <w:p w:rsidR="0006602D" w:rsidRDefault="00A134C9" w:rsidP="00EA5E62">
      <w:r w:rsidRPr="00CA7DC4">
        <w:t>Exercise Tangaroa</w:t>
      </w:r>
      <w:r w:rsidR="00C35E72">
        <w:t xml:space="preserve"> 2016</w:t>
      </w:r>
      <w:r w:rsidRPr="00CA7DC4">
        <w:t xml:space="preserve"> is a Tier 4 (national) exercise led by the Ministry of Civil Defence &amp; Emergency Management (MCDEM) that will be conducted over three days in 2016: 31 August, 14 September, and 28 September. </w:t>
      </w:r>
      <w:r w:rsidR="00C35E72">
        <w:t xml:space="preserve">Exercise Tangaroa is based on a </w:t>
      </w:r>
      <w:r w:rsidR="00C35E72" w:rsidRPr="00C35E72">
        <w:rPr>
          <w:b/>
        </w:rPr>
        <w:t>regional source tsunami</w:t>
      </w:r>
      <w:r w:rsidR="00C35E72">
        <w:t xml:space="preserve"> (generated less than three hours travel time away from the nearest New Zealand coastline) that impacts the </w:t>
      </w:r>
      <w:r w:rsidR="00C02A14">
        <w:t xml:space="preserve">entire </w:t>
      </w:r>
      <w:r w:rsidR="00C35E72">
        <w:t xml:space="preserve">New Zealand coastline. </w:t>
      </w:r>
    </w:p>
    <w:p w:rsidR="00582749" w:rsidRDefault="00A134C9" w:rsidP="00EA5E62">
      <w:r w:rsidRPr="0006602D">
        <w:t xml:space="preserve">The </w:t>
      </w:r>
      <w:r w:rsidRPr="00AF187E">
        <w:rPr>
          <w:b/>
        </w:rPr>
        <w:t xml:space="preserve">overall exercise </w:t>
      </w:r>
      <w:r w:rsidR="00AF187E">
        <w:rPr>
          <w:b/>
        </w:rPr>
        <w:t>aim</w:t>
      </w:r>
      <w:r w:rsidR="00AF187E">
        <w:t xml:space="preserve"> </w:t>
      </w:r>
      <w:r w:rsidRPr="0006602D">
        <w:t>is to test New Zealand’s arrangements for preparing for, responding to, and recovering from a national tsunami impact</w:t>
      </w:r>
      <w:r w:rsidR="00582749">
        <w:t xml:space="preserve">. </w:t>
      </w:r>
      <w:r w:rsidR="00CA7DC4">
        <w:t xml:space="preserve">Exercise Tangaroa presents the </w:t>
      </w:r>
      <w:r w:rsidR="00CA7DC4" w:rsidRPr="0006602D">
        <w:t>first opportunity to test the new welfare arrangements</w:t>
      </w:r>
      <w:r w:rsidR="00CA7DC4">
        <w:t xml:space="preserve"> per the </w:t>
      </w:r>
      <w:r w:rsidR="00CA7DC4">
        <w:rPr>
          <w:i/>
        </w:rPr>
        <w:t xml:space="preserve">National Civil Defence </w:t>
      </w:r>
      <w:r w:rsidR="002313E2">
        <w:rPr>
          <w:i/>
        </w:rPr>
        <w:t>Emergency Management (</w:t>
      </w:r>
      <w:r w:rsidR="00CA7DC4">
        <w:rPr>
          <w:i/>
        </w:rPr>
        <w:t>CDEM) Plan 2015</w:t>
      </w:r>
      <w:r w:rsidR="00C35E72" w:rsidRPr="0006602D">
        <w:t>.</w:t>
      </w:r>
      <w:r w:rsidR="00F961C1" w:rsidRPr="0006602D">
        <w:t xml:space="preserve"> </w:t>
      </w:r>
    </w:p>
    <w:p w:rsidR="00A134C9" w:rsidRDefault="00F961C1" w:rsidP="00EA5E62">
      <w:r w:rsidRPr="0006602D">
        <w:t xml:space="preserve">The National Welfare Coordination Group (NWCG) has </w:t>
      </w:r>
      <w:r w:rsidR="00AF187E">
        <w:t>agreed</w:t>
      </w:r>
      <w:r w:rsidRPr="0006602D">
        <w:t xml:space="preserve"> that responsible and support agencies</w:t>
      </w:r>
      <w:r w:rsidR="00030C62" w:rsidRPr="0006602D">
        <w:t xml:space="preserve"> at the national</w:t>
      </w:r>
      <w:r w:rsidR="003D7661">
        <w:t xml:space="preserve"> </w:t>
      </w:r>
      <w:r w:rsidR="00030C62" w:rsidRPr="0006602D">
        <w:t>level</w:t>
      </w:r>
      <w:r w:rsidRPr="0006602D">
        <w:t xml:space="preserve"> (per the N</w:t>
      </w:r>
      <w:r w:rsidR="00CC711E">
        <w:t xml:space="preserve">ational </w:t>
      </w:r>
      <w:r w:rsidRPr="0006602D">
        <w:t xml:space="preserve">CDEM Plan 2015) will participate in Day </w:t>
      </w:r>
      <w:r w:rsidR="00CC711E">
        <w:t>One</w:t>
      </w:r>
      <w:r w:rsidRPr="0006602D">
        <w:t xml:space="preserve"> and </w:t>
      </w:r>
      <w:r w:rsidR="00A10FDB">
        <w:t xml:space="preserve">Day </w:t>
      </w:r>
      <w:r w:rsidR="00CC711E">
        <w:t>Two</w:t>
      </w:r>
      <w:r w:rsidR="00866BD1">
        <w:t xml:space="preserve"> of the </w:t>
      </w:r>
      <w:r w:rsidR="00AF187E">
        <w:t>e</w:t>
      </w:r>
      <w:r w:rsidR="00866BD1">
        <w:t>xercise</w:t>
      </w:r>
      <w:r w:rsidR="005C61C7">
        <w:t>, and be on standby for Day Three</w:t>
      </w:r>
      <w:r w:rsidRPr="0006602D">
        <w:t>.</w:t>
      </w:r>
    </w:p>
    <w:p w:rsidR="00030C62" w:rsidRPr="00CA7DC4" w:rsidRDefault="00030C62" w:rsidP="00EA5E62">
      <w:r>
        <w:t>Participation at the regional level is at the discretion of the CDEM G</w:t>
      </w:r>
      <w:r w:rsidR="00CC711E">
        <w:t>roup</w:t>
      </w:r>
      <w:r>
        <w:t>.</w:t>
      </w:r>
    </w:p>
    <w:p w:rsidR="00A134C9" w:rsidRDefault="00AF187E" w:rsidP="00EA5E62">
      <w:pPr>
        <w:rPr>
          <w:i/>
        </w:rPr>
      </w:pPr>
      <w:r>
        <w:rPr>
          <w:i/>
        </w:rPr>
        <w:t xml:space="preserve">Note that there will also be two additional activities days held at the national level that will inform the official exercise </w:t>
      </w:r>
      <w:r w:rsidR="00922ED0">
        <w:rPr>
          <w:i/>
        </w:rPr>
        <w:t>D</w:t>
      </w:r>
      <w:r>
        <w:rPr>
          <w:i/>
        </w:rPr>
        <w:t xml:space="preserve">ays </w:t>
      </w:r>
      <w:r w:rsidR="00922ED0">
        <w:rPr>
          <w:i/>
        </w:rPr>
        <w:t>T</w:t>
      </w:r>
      <w:r>
        <w:rPr>
          <w:i/>
        </w:rPr>
        <w:t xml:space="preserve">wo and </w:t>
      </w:r>
      <w:r w:rsidR="00922ED0">
        <w:rPr>
          <w:i/>
        </w:rPr>
        <w:t>T</w:t>
      </w:r>
      <w:r>
        <w:rPr>
          <w:i/>
        </w:rPr>
        <w:t xml:space="preserve">hree: </w:t>
      </w:r>
      <w:r w:rsidR="00922ED0">
        <w:rPr>
          <w:i/>
        </w:rPr>
        <w:t>d</w:t>
      </w:r>
      <w:r>
        <w:rPr>
          <w:i/>
        </w:rPr>
        <w:t xml:space="preserve">evelopment of a </w:t>
      </w:r>
      <w:r w:rsidRPr="00AF187E">
        <w:rPr>
          <w:b/>
          <w:i/>
        </w:rPr>
        <w:t>National situation Report (Sitrep)</w:t>
      </w:r>
      <w:r>
        <w:rPr>
          <w:i/>
        </w:rPr>
        <w:t xml:space="preserve"> on 8 September and a </w:t>
      </w:r>
      <w:r w:rsidRPr="00AF187E">
        <w:rPr>
          <w:b/>
          <w:i/>
        </w:rPr>
        <w:t xml:space="preserve">National Action Plan </w:t>
      </w:r>
      <w:r>
        <w:rPr>
          <w:i/>
        </w:rPr>
        <w:t xml:space="preserve">on 22 September.  These documents will be made available to participating agencies by MCDEM prior to </w:t>
      </w:r>
      <w:r w:rsidR="00922ED0">
        <w:rPr>
          <w:i/>
        </w:rPr>
        <w:t>D</w:t>
      </w:r>
      <w:r>
        <w:rPr>
          <w:i/>
        </w:rPr>
        <w:t xml:space="preserve">ays </w:t>
      </w:r>
      <w:r w:rsidR="00922ED0">
        <w:rPr>
          <w:i/>
        </w:rPr>
        <w:t>T</w:t>
      </w:r>
      <w:r>
        <w:rPr>
          <w:i/>
        </w:rPr>
        <w:t xml:space="preserve">wo and </w:t>
      </w:r>
      <w:r w:rsidR="00922ED0">
        <w:rPr>
          <w:i/>
        </w:rPr>
        <w:t>T</w:t>
      </w:r>
      <w:r>
        <w:rPr>
          <w:i/>
        </w:rPr>
        <w:t>hree respectively.</w:t>
      </w:r>
    </w:p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A05D51" w:rsidRDefault="00030C62" w:rsidP="00195902">
      <w:pPr>
        <w:pStyle w:val="Heading2"/>
        <w:numPr>
          <w:ilvl w:val="3"/>
          <w:numId w:val="10"/>
        </w:numPr>
        <w:spacing w:after="160"/>
        <w:rPr>
          <w:rFonts w:eastAsiaTheme="minorHAnsi"/>
        </w:rPr>
      </w:pPr>
      <w:r w:rsidRPr="00030C62">
        <w:rPr>
          <w:rFonts w:eastAsiaTheme="minorHAnsi"/>
        </w:rPr>
        <w:t xml:space="preserve">1.2 </w:t>
      </w:r>
      <w:r w:rsidR="005C61C7">
        <w:rPr>
          <w:rFonts w:eastAsiaTheme="minorHAnsi"/>
        </w:rPr>
        <w:t>National Welfare Manager</w:t>
      </w:r>
      <w:r w:rsidR="007C3D9D">
        <w:rPr>
          <w:rFonts w:eastAsiaTheme="minorHAnsi"/>
        </w:rPr>
        <w:t xml:space="preserve"> </w:t>
      </w:r>
      <w:r w:rsidR="009922BC">
        <w:rPr>
          <w:rFonts w:eastAsiaTheme="minorHAnsi"/>
        </w:rPr>
        <w:t>objectives</w:t>
      </w:r>
      <w:r w:rsidR="005C61C7">
        <w:rPr>
          <w:rFonts w:eastAsiaTheme="minorHAnsi"/>
        </w:rPr>
        <w:t xml:space="preserve"> </w:t>
      </w:r>
    </w:p>
    <w:p w:rsidR="00AF187E" w:rsidRPr="00AF187E" w:rsidRDefault="00AF187E" w:rsidP="00AF187E">
      <w:r>
        <w:t>In addition to the main Welfare objectives for the exercise, the National Welfare Manager would like to:</w:t>
      </w:r>
    </w:p>
    <w:p w:rsidR="00A05D51" w:rsidRDefault="00A05D51" w:rsidP="00195902">
      <w:pPr>
        <w:pStyle w:val="ListParagraph"/>
        <w:numPr>
          <w:ilvl w:val="0"/>
          <w:numId w:val="12"/>
        </w:numPr>
      </w:pPr>
      <w:r>
        <w:t xml:space="preserve">test the Welfare </w:t>
      </w:r>
      <w:r w:rsidR="005C61C7">
        <w:t xml:space="preserve">function in line with </w:t>
      </w:r>
      <w:r>
        <w:t>arrangements set out in the National CDEM Plan 2015</w:t>
      </w:r>
      <w:r w:rsidR="005C61C7">
        <w:t>.</w:t>
      </w:r>
    </w:p>
    <w:p w:rsidR="00030C62" w:rsidRDefault="00B8583C" w:rsidP="00195902">
      <w:pPr>
        <w:pStyle w:val="ListParagraph"/>
        <w:numPr>
          <w:ilvl w:val="0"/>
          <w:numId w:val="12"/>
        </w:numPr>
      </w:pPr>
      <w:r>
        <w:t>ensure operational connectivity (co</w:t>
      </w:r>
      <w:r w:rsidR="00A10FDB">
        <w:t>-ordination and communication) between</w:t>
      </w:r>
      <w:r>
        <w:t xml:space="preserve"> the</w:t>
      </w:r>
      <w:r w:rsidR="00030C62">
        <w:t>:</w:t>
      </w:r>
    </w:p>
    <w:p w:rsidR="004554F3" w:rsidRDefault="00CC711E" w:rsidP="00195902">
      <w:pPr>
        <w:pStyle w:val="ListParagraph"/>
        <w:numPr>
          <w:ilvl w:val="1"/>
          <w:numId w:val="12"/>
        </w:numPr>
      </w:pPr>
      <w:r>
        <w:t>National Crisis Management Centre (</w:t>
      </w:r>
      <w:r w:rsidR="000F5E56">
        <w:t>NCMC</w:t>
      </w:r>
      <w:r>
        <w:t>)</w:t>
      </w:r>
      <w:r w:rsidR="000F5E56">
        <w:t xml:space="preserve"> </w:t>
      </w:r>
      <w:r w:rsidR="005C61C7">
        <w:t xml:space="preserve">Welfare </w:t>
      </w:r>
      <w:r w:rsidR="00A05D51">
        <w:t xml:space="preserve">function </w:t>
      </w:r>
      <w:r w:rsidR="00A10FDB">
        <w:t>and</w:t>
      </w:r>
      <w:r w:rsidR="004554F3">
        <w:t>:</w:t>
      </w:r>
    </w:p>
    <w:p w:rsidR="004554F3" w:rsidRDefault="004554F3" w:rsidP="00AF187E">
      <w:pPr>
        <w:pStyle w:val="ListParagraph"/>
        <w:numPr>
          <w:ilvl w:val="2"/>
          <w:numId w:val="12"/>
        </w:numPr>
      </w:pPr>
      <w:r>
        <w:t>the</w:t>
      </w:r>
      <w:r w:rsidR="00A05D51">
        <w:t xml:space="preserve"> NWCG</w:t>
      </w:r>
      <w:r>
        <w:t>;</w:t>
      </w:r>
    </w:p>
    <w:p w:rsidR="004554F3" w:rsidRDefault="00A10FDB" w:rsidP="00AF187E">
      <w:pPr>
        <w:pStyle w:val="ListParagraph"/>
        <w:numPr>
          <w:ilvl w:val="2"/>
          <w:numId w:val="12"/>
        </w:numPr>
      </w:pPr>
      <w:r>
        <w:t xml:space="preserve">CDEM </w:t>
      </w:r>
      <w:r w:rsidR="00A05D51">
        <w:t>Group Welfare Managers (GWM)</w:t>
      </w:r>
      <w:r w:rsidR="004554F3">
        <w:t>;</w:t>
      </w:r>
    </w:p>
    <w:p w:rsidR="00030C62" w:rsidRDefault="00A05D51" w:rsidP="00AF187E">
      <w:pPr>
        <w:pStyle w:val="ListParagraph"/>
        <w:numPr>
          <w:ilvl w:val="2"/>
          <w:numId w:val="12"/>
        </w:numPr>
      </w:pPr>
      <w:r>
        <w:t>other NCMC functions</w:t>
      </w:r>
      <w:r w:rsidR="00030C62">
        <w:t xml:space="preserve"> at the national level</w:t>
      </w:r>
      <w:r w:rsidR="004554F3">
        <w:t>.</w:t>
      </w:r>
    </w:p>
    <w:p w:rsidR="004554F3" w:rsidRDefault="00CC711E" w:rsidP="00195902">
      <w:pPr>
        <w:pStyle w:val="ListParagraph"/>
        <w:numPr>
          <w:ilvl w:val="1"/>
          <w:numId w:val="12"/>
        </w:numPr>
      </w:pPr>
      <w:r>
        <w:t>Emergency Coordination Centre (</w:t>
      </w:r>
      <w:r w:rsidR="00030C62">
        <w:t>ECC</w:t>
      </w:r>
      <w:r>
        <w:t>)</w:t>
      </w:r>
      <w:r w:rsidR="00030C62">
        <w:t xml:space="preserve"> </w:t>
      </w:r>
      <w:r w:rsidR="007C3D9D">
        <w:t xml:space="preserve">Welfare </w:t>
      </w:r>
      <w:r w:rsidR="00030C62">
        <w:t>function</w:t>
      </w:r>
      <w:r w:rsidR="00B00832">
        <w:t xml:space="preserve"> </w:t>
      </w:r>
      <w:r w:rsidR="00A10FDB">
        <w:t>and</w:t>
      </w:r>
      <w:r w:rsidR="004554F3">
        <w:t>:</w:t>
      </w:r>
    </w:p>
    <w:p w:rsidR="004554F3" w:rsidRDefault="004554F3" w:rsidP="00AF187E">
      <w:pPr>
        <w:pStyle w:val="ListParagraph"/>
        <w:numPr>
          <w:ilvl w:val="2"/>
          <w:numId w:val="12"/>
        </w:numPr>
      </w:pPr>
      <w:r>
        <w:t xml:space="preserve">the </w:t>
      </w:r>
      <w:r w:rsidR="00CC711E">
        <w:t>regional Welfare Coordination Group (</w:t>
      </w:r>
      <w:r w:rsidR="00030C62">
        <w:t>WCG</w:t>
      </w:r>
      <w:r w:rsidR="00CC711E">
        <w:t>)</w:t>
      </w:r>
    </w:p>
    <w:p w:rsidR="004554F3" w:rsidRDefault="00A10FDB" w:rsidP="00AF187E">
      <w:pPr>
        <w:pStyle w:val="ListParagraph"/>
        <w:numPr>
          <w:ilvl w:val="2"/>
          <w:numId w:val="12"/>
        </w:numPr>
      </w:pPr>
      <w:r>
        <w:t xml:space="preserve">the </w:t>
      </w:r>
      <w:r w:rsidR="000319BD">
        <w:t xml:space="preserve">NCMC </w:t>
      </w:r>
      <w:r w:rsidR="00665E6C">
        <w:t>W</w:t>
      </w:r>
      <w:r w:rsidR="000319BD">
        <w:t>elfare function</w:t>
      </w:r>
      <w:r w:rsidR="004554F3">
        <w:t xml:space="preserve">; </w:t>
      </w:r>
    </w:p>
    <w:p w:rsidR="00A05D51" w:rsidRDefault="00030C62" w:rsidP="00AF187E">
      <w:pPr>
        <w:pStyle w:val="ListParagraph"/>
        <w:numPr>
          <w:ilvl w:val="2"/>
          <w:numId w:val="12"/>
        </w:numPr>
      </w:pPr>
      <w:r>
        <w:t xml:space="preserve">other ECC functions at the regional level. </w:t>
      </w:r>
    </w:p>
    <w:p w:rsidR="00A10FDB" w:rsidRDefault="00A05D51" w:rsidP="00195902">
      <w:pPr>
        <w:pStyle w:val="ListParagraph"/>
        <w:numPr>
          <w:ilvl w:val="0"/>
          <w:numId w:val="12"/>
        </w:numPr>
      </w:pPr>
      <w:r>
        <w:t>test the activation processes</w:t>
      </w:r>
      <w:r w:rsidR="00A10FDB">
        <w:t>,</w:t>
      </w:r>
      <w:r>
        <w:t xml:space="preserve"> </w:t>
      </w:r>
      <w:r w:rsidR="00A10FDB">
        <w:t xml:space="preserve">including welfare services sub-functions, </w:t>
      </w:r>
      <w:r>
        <w:t>of</w:t>
      </w:r>
      <w:r w:rsidR="00B00832">
        <w:t xml:space="preserve"> the</w:t>
      </w:r>
      <w:r w:rsidR="004554F3">
        <w:t>:</w:t>
      </w:r>
      <w:r>
        <w:t xml:space="preserve"> </w:t>
      </w:r>
    </w:p>
    <w:p w:rsidR="00A10FDB" w:rsidRDefault="00A05D51" w:rsidP="00AF187E">
      <w:pPr>
        <w:pStyle w:val="ListParagraph"/>
        <w:numPr>
          <w:ilvl w:val="1"/>
          <w:numId w:val="12"/>
        </w:numPr>
      </w:pPr>
      <w:r>
        <w:t xml:space="preserve">NCMC </w:t>
      </w:r>
      <w:r w:rsidR="00665E6C">
        <w:t>W</w:t>
      </w:r>
      <w:r>
        <w:t>elfare function</w:t>
      </w:r>
      <w:r w:rsidR="00A10FDB">
        <w:t xml:space="preserve"> and</w:t>
      </w:r>
      <w:r>
        <w:t xml:space="preserve"> NWCG</w:t>
      </w:r>
      <w:r w:rsidR="00A10FDB">
        <w:t>;</w:t>
      </w:r>
    </w:p>
    <w:p w:rsidR="00A05D51" w:rsidRDefault="00665E6C" w:rsidP="00AF187E">
      <w:pPr>
        <w:pStyle w:val="ListParagraph"/>
        <w:numPr>
          <w:ilvl w:val="1"/>
          <w:numId w:val="12"/>
        </w:numPr>
      </w:pPr>
      <w:r>
        <w:t>ECC W</w:t>
      </w:r>
      <w:r w:rsidR="00A10FDB">
        <w:t>elfare function and WCG</w:t>
      </w:r>
      <w:r w:rsidR="00E00E5D">
        <w:t>.</w:t>
      </w:r>
    </w:p>
    <w:p w:rsidR="00A05D51" w:rsidRDefault="00A05D51" w:rsidP="00195902">
      <w:pPr>
        <w:pStyle w:val="ListParagraph"/>
        <w:numPr>
          <w:ilvl w:val="0"/>
          <w:numId w:val="12"/>
        </w:numPr>
      </w:pPr>
      <w:r>
        <w:t xml:space="preserve">identify gaps/issues and develop recommended actions to address </w:t>
      </w:r>
      <w:r w:rsidR="00215107">
        <w:t xml:space="preserve">these </w:t>
      </w:r>
      <w:r>
        <w:t>(following the exercise)</w:t>
      </w:r>
      <w:r w:rsidR="00CC711E">
        <w:t>.</w:t>
      </w:r>
    </w:p>
    <w:p w:rsidR="00AF187E" w:rsidRDefault="00AF187E" w:rsidP="00AF187E"/>
    <w:p w:rsidR="00AF187E" w:rsidRDefault="00AF187E" w:rsidP="00AF187E"/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3F1FF7" w:rsidRPr="00443BB4" w:rsidRDefault="00443BB4" w:rsidP="00195902">
      <w:pPr>
        <w:pStyle w:val="Heading2"/>
        <w:numPr>
          <w:ilvl w:val="3"/>
          <w:numId w:val="10"/>
        </w:numPr>
        <w:spacing w:after="160"/>
        <w:rPr>
          <w:rFonts w:eastAsiaTheme="minorHAnsi"/>
        </w:rPr>
      </w:pPr>
      <w:r>
        <w:rPr>
          <w:rFonts w:eastAsiaTheme="minorHAnsi"/>
        </w:rPr>
        <w:lastRenderedPageBreak/>
        <w:t xml:space="preserve">1.3 </w:t>
      </w:r>
      <w:r w:rsidR="003F1FF7" w:rsidRPr="00443BB4">
        <w:rPr>
          <w:rFonts w:eastAsiaTheme="minorHAnsi"/>
        </w:rPr>
        <w:t>Expectations</w:t>
      </w:r>
    </w:p>
    <w:p w:rsidR="00443BB4" w:rsidRDefault="00443BB4" w:rsidP="00443BB4">
      <w:pPr>
        <w:pStyle w:val="Heading8"/>
        <w:pBdr>
          <w:bottom w:val="none" w:sz="0" w:space="0" w:color="auto"/>
        </w:pBdr>
      </w:pPr>
      <w:r>
        <w:t>National</w:t>
      </w:r>
      <w:r w:rsidR="003D7661">
        <w:t xml:space="preserve"> </w:t>
      </w:r>
      <w:r>
        <w:t>level</w:t>
      </w:r>
    </w:p>
    <w:p w:rsidR="000E0341" w:rsidRDefault="000E0341" w:rsidP="000E0341">
      <w:pPr>
        <w:pStyle w:val="LHcolumn"/>
      </w:pPr>
      <w:r>
        <w:t>DAY ONE</w:t>
      </w:r>
      <w:r w:rsidR="00AF187E">
        <w:t xml:space="preserve"> (31 August 2016)</w:t>
      </w:r>
    </w:p>
    <w:p w:rsidR="000E0341" w:rsidRDefault="003F1FF7" w:rsidP="003F1FF7">
      <w:r>
        <w:t>It is expected that the NWCG</w:t>
      </w:r>
      <w:r w:rsidR="00B77B20">
        <w:t xml:space="preserve"> </w:t>
      </w:r>
      <w:r w:rsidR="000E0341">
        <w:t>responsible</w:t>
      </w:r>
      <w:r>
        <w:t xml:space="preserve"> and support agencies will be </w:t>
      </w:r>
      <w:r w:rsidRPr="00AF187E">
        <w:rPr>
          <w:b/>
        </w:rPr>
        <w:t>ava</w:t>
      </w:r>
      <w:r w:rsidR="00CC711E" w:rsidRPr="00AF187E">
        <w:rPr>
          <w:b/>
        </w:rPr>
        <w:t>ilable by phone for all of D</w:t>
      </w:r>
      <w:r w:rsidR="00D44D2B" w:rsidRPr="00AF187E">
        <w:rPr>
          <w:b/>
        </w:rPr>
        <w:t xml:space="preserve">ay </w:t>
      </w:r>
      <w:r w:rsidR="00CC711E" w:rsidRPr="00AF187E">
        <w:rPr>
          <w:b/>
        </w:rPr>
        <w:t>O</w:t>
      </w:r>
      <w:r w:rsidR="00D44D2B" w:rsidRPr="00AF187E">
        <w:rPr>
          <w:b/>
        </w:rPr>
        <w:t>ne</w:t>
      </w:r>
      <w:r w:rsidR="00C02A14" w:rsidRPr="00AF187E">
        <w:rPr>
          <w:b/>
        </w:rPr>
        <w:t xml:space="preserve"> (business hours)</w:t>
      </w:r>
      <w:r>
        <w:t xml:space="preserve"> and to actively participate that day as specified in </w:t>
      </w:r>
      <w:r w:rsidR="00922ED0">
        <w:t>Section 1.4 below</w:t>
      </w:r>
      <w:r>
        <w:t xml:space="preserve">. </w:t>
      </w:r>
    </w:p>
    <w:p w:rsidR="000E0341" w:rsidRDefault="000E0341" w:rsidP="000E0341">
      <w:pPr>
        <w:pStyle w:val="LHcolumn"/>
      </w:pPr>
      <w:r>
        <w:t>DAY TWO</w:t>
      </w:r>
      <w:r w:rsidR="00AF187E">
        <w:t xml:space="preserve"> (14 September 2016)</w:t>
      </w:r>
    </w:p>
    <w:p w:rsidR="000E0341" w:rsidRDefault="003F1FF7" w:rsidP="003F1FF7">
      <w:r>
        <w:t xml:space="preserve">The NWCG </w:t>
      </w:r>
      <w:r w:rsidR="00B77B20">
        <w:t xml:space="preserve">responsible </w:t>
      </w:r>
      <w:r>
        <w:t xml:space="preserve">and support agencies will participate for </w:t>
      </w:r>
      <w:r w:rsidRPr="00AF187E">
        <w:rPr>
          <w:b/>
        </w:rPr>
        <w:t xml:space="preserve">3-4 hours in a table top discussion on </w:t>
      </w:r>
      <w:r w:rsidR="00604090" w:rsidRPr="00AF187E">
        <w:rPr>
          <w:b/>
        </w:rPr>
        <w:t xml:space="preserve">Day </w:t>
      </w:r>
      <w:r w:rsidR="00CC711E" w:rsidRPr="00AF187E">
        <w:rPr>
          <w:b/>
        </w:rPr>
        <w:t>Two</w:t>
      </w:r>
      <w:r w:rsidR="00922ED0">
        <w:rPr>
          <w:b/>
        </w:rPr>
        <w:t xml:space="preserve"> </w:t>
      </w:r>
      <w:r w:rsidR="00922ED0">
        <w:t xml:space="preserve">and should be </w:t>
      </w:r>
      <w:r w:rsidR="00922ED0" w:rsidRPr="00AF187E">
        <w:rPr>
          <w:b/>
        </w:rPr>
        <w:t xml:space="preserve">available by phone for all of Day </w:t>
      </w:r>
      <w:r w:rsidR="00922ED0">
        <w:rPr>
          <w:b/>
        </w:rPr>
        <w:t>Two</w:t>
      </w:r>
      <w:r w:rsidR="00922ED0" w:rsidRPr="00AF187E">
        <w:rPr>
          <w:b/>
        </w:rPr>
        <w:t xml:space="preserve"> (business hours)</w:t>
      </w:r>
      <w:r>
        <w:t>.</w:t>
      </w:r>
      <w:r w:rsidR="00E241B9">
        <w:t xml:space="preserve"> </w:t>
      </w:r>
    </w:p>
    <w:p w:rsidR="000E0341" w:rsidRDefault="000E0341" w:rsidP="000E0341">
      <w:pPr>
        <w:pStyle w:val="LHcolumn"/>
      </w:pPr>
      <w:r>
        <w:t>DAY THREE</w:t>
      </w:r>
      <w:r w:rsidR="00AF187E">
        <w:t xml:space="preserve"> (28 September 2016)</w:t>
      </w:r>
    </w:p>
    <w:p w:rsidR="00811F3B" w:rsidRDefault="00E241B9" w:rsidP="003F1FF7">
      <w:r>
        <w:t xml:space="preserve">The NWCG </w:t>
      </w:r>
      <w:r w:rsidR="000E0341">
        <w:t>responsible</w:t>
      </w:r>
      <w:r>
        <w:t xml:space="preserve"> and support agencies are expected to be </w:t>
      </w:r>
      <w:r w:rsidRPr="00AF187E">
        <w:rPr>
          <w:b/>
        </w:rPr>
        <w:t>on standby on Day Three</w:t>
      </w:r>
      <w:r>
        <w:t xml:space="preserve"> to provide support to CDEM Groups if requested/required.</w:t>
      </w:r>
      <w:r w:rsidR="00FA5848">
        <w:t xml:space="preserve"> </w:t>
      </w:r>
    </w:p>
    <w:p w:rsidR="003F1FF7" w:rsidRPr="00FA5848" w:rsidRDefault="00FA5848" w:rsidP="003F1FF7">
      <w:pPr>
        <w:rPr>
          <w:b/>
        </w:rPr>
      </w:pPr>
      <w:r>
        <w:t xml:space="preserve">A list of the </w:t>
      </w:r>
      <w:r w:rsidR="00CC711E">
        <w:t>recommended</w:t>
      </w:r>
      <w:r>
        <w:t xml:space="preserve"> </w:t>
      </w:r>
      <w:r w:rsidRPr="00443BB4">
        <w:t xml:space="preserve">participating agencies can be found in </w:t>
      </w:r>
      <w:r w:rsidRPr="00443BB4">
        <w:rPr>
          <w:b/>
        </w:rPr>
        <w:t>Appendix 1.</w:t>
      </w:r>
    </w:p>
    <w:p w:rsidR="00443BB4" w:rsidRDefault="00FA5848" w:rsidP="00FA5848">
      <w:r>
        <w:t xml:space="preserve">After the </w:t>
      </w:r>
      <w:r w:rsidR="00AF187E">
        <w:t>e</w:t>
      </w:r>
      <w:r>
        <w:t>xercise is completed, each participating agency is expected to complete an evaluation form.</w:t>
      </w:r>
    </w:p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443BB4" w:rsidRDefault="00443BB4" w:rsidP="00443BB4">
      <w:pPr>
        <w:pStyle w:val="Heading8"/>
        <w:pBdr>
          <w:bottom w:val="none" w:sz="0" w:space="0" w:color="auto"/>
        </w:pBdr>
      </w:pPr>
      <w:r>
        <w:t>Regional</w:t>
      </w:r>
      <w:r w:rsidR="003D7661">
        <w:t xml:space="preserve"> </w:t>
      </w:r>
      <w:r>
        <w:t>level</w:t>
      </w:r>
    </w:p>
    <w:p w:rsidR="000E0341" w:rsidRDefault="00443BB4" w:rsidP="00FA5848">
      <w:r>
        <w:t>Participation at the regional level is at the discretion of the CDEM G</w:t>
      </w:r>
      <w:r w:rsidR="00604090">
        <w:t>roup</w:t>
      </w:r>
      <w:r>
        <w:t xml:space="preserve">. </w:t>
      </w:r>
    </w:p>
    <w:p w:rsidR="000E0341" w:rsidRDefault="000E0341" w:rsidP="000E0341">
      <w:pPr>
        <w:pStyle w:val="LHcolumn"/>
      </w:pPr>
      <w:r>
        <w:t>DAY ONE</w:t>
      </w:r>
      <w:r w:rsidR="00AF187E">
        <w:t xml:space="preserve"> (31 August 2016)</w:t>
      </w:r>
    </w:p>
    <w:p w:rsidR="000E0341" w:rsidRDefault="00811F3B" w:rsidP="00FA5848">
      <w:pPr>
        <w:rPr>
          <w:b/>
        </w:rPr>
      </w:pPr>
      <w:r w:rsidRPr="00AF187E">
        <w:t>The National Welfare Manager (NWM)</w:t>
      </w:r>
      <w:r w:rsidR="00443BB4" w:rsidRPr="00AF187E">
        <w:t xml:space="preserve"> request</w:t>
      </w:r>
      <w:r w:rsidRPr="00AF187E">
        <w:t>s</w:t>
      </w:r>
      <w:r w:rsidR="00443BB4" w:rsidRPr="00AF187E">
        <w:t xml:space="preserve"> that </w:t>
      </w:r>
      <w:r w:rsidR="00443BB4" w:rsidRPr="000E0341">
        <w:rPr>
          <w:b/>
        </w:rPr>
        <w:t xml:space="preserve">all </w:t>
      </w:r>
      <w:r w:rsidRPr="000E0341">
        <w:rPr>
          <w:b/>
        </w:rPr>
        <w:t xml:space="preserve">CDEM </w:t>
      </w:r>
      <w:r w:rsidR="00443BB4" w:rsidRPr="000E0341">
        <w:rPr>
          <w:b/>
        </w:rPr>
        <w:t xml:space="preserve">Group Welfare Managers participate in </w:t>
      </w:r>
      <w:r w:rsidR="00E241B9" w:rsidRPr="000E0341">
        <w:rPr>
          <w:b/>
        </w:rPr>
        <w:t>a</w:t>
      </w:r>
      <w:r w:rsidR="00B77B20" w:rsidRPr="000E0341">
        <w:rPr>
          <w:b/>
        </w:rPr>
        <w:t xml:space="preserve"> </w:t>
      </w:r>
      <w:r w:rsidR="00443BB4" w:rsidRPr="000E0341">
        <w:rPr>
          <w:b/>
        </w:rPr>
        <w:t>teleconference</w:t>
      </w:r>
      <w:r w:rsidR="00E241B9" w:rsidRPr="000E0341">
        <w:rPr>
          <w:b/>
        </w:rPr>
        <w:t xml:space="preserve"> </w:t>
      </w:r>
      <w:r w:rsidRPr="000E0341">
        <w:rPr>
          <w:b/>
        </w:rPr>
        <w:t>on</w:t>
      </w:r>
      <w:r w:rsidR="00E241B9" w:rsidRPr="000E0341">
        <w:rPr>
          <w:b/>
        </w:rPr>
        <w:t xml:space="preserve"> the afternoon of Day One</w:t>
      </w:r>
      <w:r w:rsidR="000E0341">
        <w:rPr>
          <w:b/>
        </w:rPr>
        <w:t xml:space="preserve"> </w:t>
      </w:r>
      <w:r w:rsidR="000E0341">
        <w:t>(maximum one hour)</w:t>
      </w:r>
      <w:r w:rsidR="000E0341">
        <w:rPr>
          <w:b/>
        </w:rPr>
        <w:t>.</w:t>
      </w:r>
    </w:p>
    <w:p w:rsidR="000E0341" w:rsidRDefault="000E0341" w:rsidP="000E0341">
      <w:pPr>
        <w:pStyle w:val="LHcolumn"/>
      </w:pPr>
      <w:r>
        <w:t>DAY TWO</w:t>
      </w:r>
      <w:r w:rsidR="00AF187E">
        <w:t xml:space="preserve"> (14 September 2016)</w:t>
      </w:r>
    </w:p>
    <w:p w:rsidR="000E0341" w:rsidRDefault="000E0341" w:rsidP="000E0341">
      <w:pPr>
        <w:rPr>
          <w:b/>
        </w:rPr>
      </w:pPr>
      <w:r w:rsidRPr="00E25E27">
        <w:t xml:space="preserve">The National Welfare Manager (NWM) requests that </w:t>
      </w:r>
      <w:r w:rsidRPr="00E25E27">
        <w:rPr>
          <w:b/>
        </w:rPr>
        <w:t xml:space="preserve">all CDEM Group Welfare Managers participate in a teleconference on the afternoon of Day </w:t>
      </w:r>
      <w:r>
        <w:rPr>
          <w:b/>
        </w:rPr>
        <w:t xml:space="preserve">Two </w:t>
      </w:r>
      <w:r>
        <w:t>(maximum one hour)</w:t>
      </w:r>
      <w:r>
        <w:rPr>
          <w:b/>
        </w:rPr>
        <w:t>.</w:t>
      </w:r>
    </w:p>
    <w:p w:rsidR="00922ED0" w:rsidRDefault="00922ED0" w:rsidP="00922ED0">
      <w:pPr>
        <w:pStyle w:val="LHcolumn"/>
      </w:pPr>
      <w:r>
        <w:t>DAY THREE (28 September 2016)</w:t>
      </w:r>
    </w:p>
    <w:p w:rsidR="00922ED0" w:rsidRDefault="00922ED0" w:rsidP="00922ED0">
      <w:r>
        <w:t>CDEM Groups may wish to complete a simple table top discussion. Some themes/questions to consider are listed in Section 1.7.</w:t>
      </w:r>
    </w:p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5D7B8A" w:rsidRPr="00443BB4" w:rsidRDefault="00443BB4" w:rsidP="00195902">
      <w:pPr>
        <w:pStyle w:val="Heading2"/>
        <w:numPr>
          <w:ilvl w:val="3"/>
          <w:numId w:val="10"/>
        </w:numPr>
        <w:spacing w:after="160"/>
        <w:rPr>
          <w:rFonts w:eastAsiaTheme="minorHAnsi"/>
        </w:rPr>
      </w:pPr>
      <w:r>
        <w:rPr>
          <w:rFonts w:eastAsiaTheme="minorHAnsi"/>
        </w:rPr>
        <w:t xml:space="preserve">1.4 </w:t>
      </w:r>
      <w:r w:rsidR="005461A3" w:rsidRPr="00443BB4">
        <w:rPr>
          <w:rFonts w:eastAsiaTheme="minorHAnsi"/>
        </w:rPr>
        <w:t xml:space="preserve">Day </w:t>
      </w:r>
      <w:r w:rsidR="00CC711E">
        <w:rPr>
          <w:rFonts w:eastAsiaTheme="minorHAnsi"/>
        </w:rPr>
        <w:t>One</w:t>
      </w:r>
      <w:r w:rsidR="00811F3B">
        <w:rPr>
          <w:rStyle w:val="FootnoteReference"/>
          <w:rFonts w:eastAsiaTheme="minorHAnsi"/>
        </w:rPr>
        <w:footnoteReference w:id="1"/>
      </w:r>
      <w:r w:rsidR="005461A3" w:rsidRPr="00443BB4">
        <w:rPr>
          <w:rFonts w:eastAsiaTheme="minorHAnsi"/>
        </w:rPr>
        <w:t>: Wednesday 31 August 2016</w:t>
      </w:r>
      <w:r w:rsidR="00A134C9" w:rsidRPr="00443BB4">
        <w:rPr>
          <w:rFonts w:eastAsiaTheme="minorHAnsi"/>
        </w:rPr>
        <w:t xml:space="preserve"> (full scale </w:t>
      </w:r>
      <w:r w:rsidR="007137F4" w:rsidRPr="00443BB4">
        <w:rPr>
          <w:rFonts w:eastAsiaTheme="minorHAnsi"/>
        </w:rPr>
        <w:t xml:space="preserve">real-time </w:t>
      </w:r>
      <w:r w:rsidR="00A134C9" w:rsidRPr="00443BB4">
        <w:rPr>
          <w:rFonts w:eastAsiaTheme="minorHAnsi"/>
        </w:rPr>
        <w:t>activation)</w:t>
      </w:r>
    </w:p>
    <w:p w:rsidR="00EA1462" w:rsidRDefault="006E34B1" w:rsidP="00B36BAF">
      <w:pPr>
        <w:pStyle w:val="Heading8"/>
        <w:pBdr>
          <w:bottom w:val="none" w:sz="0" w:space="0" w:color="auto"/>
        </w:pBdr>
      </w:pPr>
      <w:r>
        <w:t xml:space="preserve">National-level welfare activities </w:t>
      </w:r>
      <w:r w:rsidR="00384F65">
        <w:t>–</w:t>
      </w:r>
      <w:r>
        <w:t xml:space="preserve"> t</w:t>
      </w:r>
      <w:r w:rsidR="00B36BAF">
        <w:t>est activation process</w:t>
      </w:r>
    </w:p>
    <w:p w:rsidR="006E34B1" w:rsidRDefault="006E34B1" w:rsidP="006E34B1">
      <w:pPr>
        <w:rPr>
          <w:i/>
        </w:rPr>
      </w:pPr>
      <w:r w:rsidRPr="00122A60">
        <w:rPr>
          <w:i/>
        </w:rPr>
        <w:t>P</w:t>
      </w:r>
      <w:r>
        <w:rPr>
          <w:i/>
        </w:rPr>
        <w:t xml:space="preserve">roposed venue: MCDEM to be based in NCMC. NWCG </w:t>
      </w:r>
      <w:r w:rsidR="000E0341">
        <w:rPr>
          <w:i/>
        </w:rPr>
        <w:t>responsible</w:t>
      </w:r>
      <w:r w:rsidR="00B77B20">
        <w:rPr>
          <w:i/>
        </w:rPr>
        <w:t xml:space="preserve"> </w:t>
      </w:r>
      <w:r>
        <w:rPr>
          <w:i/>
        </w:rPr>
        <w:t>and support agencies to be available by phone/email.</w:t>
      </w:r>
    </w:p>
    <w:p w:rsidR="00613C50" w:rsidRDefault="00613C50" w:rsidP="00613C50">
      <w:r>
        <w:t xml:space="preserve">The NCMC </w:t>
      </w:r>
      <w:r w:rsidR="00CC711E">
        <w:t>W</w:t>
      </w:r>
      <w:r>
        <w:t xml:space="preserve">elfare function will focus on </w:t>
      </w:r>
      <w:r w:rsidRPr="00AF187E">
        <w:rPr>
          <w:b/>
        </w:rPr>
        <w:t>welfare activation and communication processes</w:t>
      </w:r>
      <w:r w:rsidR="00811F3B">
        <w:rPr>
          <w:b/>
        </w:rPr>
        <w:t>,</w:t>
      </w:r>
      <w:r>
        <w:t xml:space="preserve"> including:</w:t>
      </w:r>
    </w:p>
    <w:p w:rsidR="00613C50" w:rsidRDefault="00613C50" w:rsidP="00195902">
      <w:pPr>
        <w:pStyle w:val="ListParagraph"/>
        <w:numPr>
          <w:ilvl w:val="0"/>
          <w:numId w:val="11"/>
        </w:numPr>
      </w:pPr>
      <w:r>
        <w:t>Activating the NWCG;</w:t>
      </w:r>
    </w:p>
    <w:p w:rsidR="00613C50" w:rsidRDefault="00613C50" w:rsidP="00195902">
      <w:pPr>
        <w:pStyle w:val="ListParagraph"/>
        <w:numPr>
          <w:ilvl w:val="0"/>
          <w:numId w:val="11"/>
        </w:numPr>
      </w:pPr>
      <w:r>
        <w:lastRenderedPageBreak/>
        <w:t xml:space="preserve">Initiating contact with </w:t>
      </w:r>
      <w:r w:rsidR="00811F3B">
        <w:t xml:space="preserve">CDEM </w:t>
      </w:r>
      <w:r>
        <w:t>G</w:t>
      </w:r>
      <w:r w:rsidR="00CC711E">
        <w:t xml:space="preserve">roup </w:t>
      </w:r>
      <w:r>
        <w:t>W</w:t>
      </w:r>
      <w:r w:rsidR="00CC711E">
        <w:t xml:space="preserve">elfare </w:t>
      </w:r>
      <w:r>
        <w:t>M</w:t>
      </w:r>
      <w:r w:rsidR="00CC711E">
        <w:t>anager</w:t>
      </w:r>
      <w:r>
        <w:t xml:space="preserve">s and establishing ongoing contact with </w:t>
      </w:r>
      <w:r w:rsidR="00665E6C">
        <w:t>the W</w:t>
      </w:r>
      <w:r w:rsidR="00811F3B">
        <w:t xml:space="preserve">elfare function at </w:t>
      </w:r>
      <w:r>
        <w:t xml:space="preserve">CDEM Group </w:t>
      </w:r>
      <w:r w:rsidR="00384F65">
        <w:t xml:space="preserve">Emergency </w:t>
      </w:r>
      <w:r>
        <w:t>C</w:t>
      </w:r>
      <w:r w:rsidR="00CC711E">
        <w:t xml:space="preserve">oordination </w:t>
      </w:r>
      <w:r>
        <w:t>C</w:t>
      </w:r>
      <w:r w:rsidR="00CC711E">
        <w:t>entres</w:t>
      </w:r>
      <w:r w:rsidR="00384F65">
        <w:t xml:space="preserve"> (ECC</w:t>
      </w:r>
      <w:r w:rsidR="00811F3B">
        <w:t>s</w:t>
      </w:r>
      <w:r w:rsidR="00384F65">
        <w:t>)</w:t>
      </w:r>
      <w:r>
        <w:t>;</w:t>
      </w:r>
    </w:p>
    <w:p w:rsidR="00613C50" w:rsidRPr="000E0341" w:rsidRDefault="00613C50" w:rsidP="00195902">
      <w:pPr>
        <w:pStyle w:val="ListParagraph"/>
        <w:numPr>
          <w:ilvl w:val="0"/>
          <w:numId w:val="11"/>
        </w:numPr>
      </w:pPr>
      <w:r>
        <w:t>Holding a</w:t>
      </w:r>
      <w:r w:rsidR="00B77B20">
        <w:t xml:space="preserve">n afternoon </w:t>
      </w:r>
      <w:r w:rsidR="006E34B1">
        <w:t xml:space="preserve">teleconference with </w:t>
      </w:r>
      <w:r w:rsidR="00811F3B">
        <w:t xml:space="preserve">CDEM </w:t>
      </w:r>
      <w:r w:rsidR="006E34B1">
        <w:t>G</w:t>
      </w:r>
      <w:r w:rsidR="00CC711E">
        <w:t xml:space="preserve">roup </w:t>
      </w:r>
      <w:r w:rsidR="006E34B1">
        <w:t>W</w:t>
      </w:r>
      <w:r w:rsidR="00CC711E">
        <w:t xml:space="preserve">elfare </w:t>
      </w:r>
      <w:r w:rsidR="006E34B1">
        <w:t>M</w:t>
      </w:r>
      <w:r w:rsidR="00CC711E">
        <w:t>anagers</w:t>
      </w:r>
      <w:r w:rsidR="006E34B1">
        <w:t xml:space="preserve"> (see </w:t>
      </w:r>
      <w:r w:rsidR="00384F65" w:rsidRPr="000E0341">
        <w:t xml:space="preserve">below and </w:t>
      </w:r>
      <w:r w:rsidR="006E34B1" w:rsidRPr="000E0341">
        <w:rPr>
          <w:b/>
        </w:rPr>
        <w:t xml:space="preserve">Appendix </w:t>
      </w:r>
      <w:r w:rsidR="00EC2026" w:rsidRPr="000E0341">
        <w:rPr>
          <w:b/>
        </w:rPr>
        <w:t>2</w:t>
      </w:r>
      <w:r w:rsidR="006E34B1" w:rsidRPr="000E0341">
        <w:t>)</w:t>
      </w:r>
      <w:r w:rsidRPr="000E0341">
        <w:t>;</w:t>
      </w:r>
    </w:p>
    <w:p w:rsidR="000E0341" w:rsidRPr="000E0341" w:rsidRDefault="000E0341" w:rsidP="000E0341">
      <w:pPr>
        <w:pStyle w:val="ListParagraph"/>
        <w:numPr>
          <w:ilvl w:val="0"/>
          <w:numId w:val="11"/>
        </w:numPr>
      </w:pPr>
      <w:r w:rsidRPr="000E0341">
        <w:t>Holding an afternoon teleconference with the NWCG (</w:t>
      </w:r>
      <w:r w:rsidRPr="00AF187E">
        <w:t xml:space="preserve">see </w:t>
      </w:r>
      <w:r w:rsidRPr="00AF187E">
        <w:rPr>
          <w:b/>
        </w:rPr>
        <w:t>Appendix 3</w:t>
      </w:r>
      <w:r w:rsidRPr="000E0341">
        <w:t>);</w:t>
      </w:r>
    </w:p>
    <w:p w:rsidR="006E34B1" w:rsidRDefault="006E34B1" w:rsidP="00195902">
      <w:pPr>
        <w:pStyle w:val="ListParagraph"/>
        <w:numPr>
          <w:ilvl w:val="0"/>
          <w:numId w:val="11"/>
        </w:numPr>
      </w:pPr>
      <w:r>
        <w:t xml:space="preserve">Providing information </w:t>
      </w:r>
      <w:r w:rsidR="004647CD">
        <w:t xml:space="preserve">to other NCMC functions </w:t>
      </w:r>
      <w:r>
        <w:t>as request</w:t>
      </w:r>
      <w:r w:rsidR="000319BD">
        <w:t>ed</w:t>
      </w:r>
      <w:r>
        <w:t>/required.</w:t>
      </w:r>
    </w:p>
    <w:p w:rsidR="006E34B1" w:rsidRDefault="006E34B1" w:rsidP="006E34B1">
      <w:r>
        <w:t xml:space="preserve">All NWCG </w:t>
      </w:r>
      <w:r w:rsidR="000E0341">
        <w:t>responsible</w:t>
      </w:r>
      <w:r w:rsidR="00811F3B">
        <w:t xml:space="preserve"> </w:t>
      </w:r>
      <w:r>
        <w:t xml:space="preserve">and support agencies may also wish to activate and </w:t>
      </w:r>
      <w:r w:rsidRPr="000E0341">
        <w:t xml:space="preserve">test </w:t>
      </w:r>
      <w:r w:rsidR="000E0341">
        <w:t xml:space="preserve">their agency’s </w:t>
      </w:r>
      <w:r w:rsidRPr="000E0341">
        <w:t>internal processes, if</w:t>
      </w:r>
      <w:r>
        <w:t xml:space="preserve"> appropriate. </w:t>
      </w:r>
    </w:p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6E34B1" w:rsidRDefault="006E34B1" w:rsidP="006E34B1">
      <w:pPr>
        <w:pStyle w:val="Heading8"/>
        <w:pBdr>
          <w:bottom w:val="none" w:sz="0" w:space="0" w:color="auto"/>
        </w:pBdr>
      </w:pPr>
      <w:r>
        <w:t xml:space="preserve">Regional-level welfare activities </w:t>
      </w:r>
      <w:r w:rsidR="00384F65">
        <w:t>–</w:t>
      </w:r>
      <w:r>
        <w:t xml:space="preserve"> test activation process</w:t>
      </w:r>
    </w:p>
    <w:p w:rsidR="0001218A" w:rsidRDefault="006E34B1" w:rsidP="006E34B1">
      <w:r>
        <w:t xml:space="preserve">The ECC </w:t>
      </w:r>
      <w:r w:rsidR="00B77B20">
        <w:t xml:space="preserve">Welfare </w:t>
      </w:r>
      <w:r>
        <w:t>function may focus on activation and communication processes</w:t>
      </w:r>
      <w:r w:rsidR="00811F3B">
        <w:t>,</w:t>
      </w:r>
      <w:r>
        <w:t xml:space="preserve"> as outlined above. </w:t>
      </w:r>
    </w:p>
    <w:p w:rsidR="0001218A" w:rsidRDefault="0001218A" w:rsidP="0001218A">
      <w:pPr>
        <w:pStyle w:val="LHcolumn"/>
      </w:pPr>
      <w:r>
        <w:t>AFTERNOON</w:t>
      </w:r>
    </w:p>
    <w:p w:rsidR="006E34B1" w:rsidRDefault="00811F3B" w:rsidP="006E34B1">
      <w:r>
        <w:t xml:space="preserve">The </w:t>
      </w:r>
      <w:r w:rsidR="00AF187E">
        <w:t>National Welfare Manager</w:t>
      </w:r>
      <w:r w:rsidR="006E34B1">
        <w:t xml:space="preserve"> recommend</w:t>
      </w:r>
      <w:r>
        <w:t>s</w:t>
      </w:r>
      <w:r w:rsidR="006E34B1">
        <w:t xml:space="preserve"> that all </w:t>
      </w:r>
      <w:r>
        <w:t xml:space="preserve">CDEM </w:t>
      </w:r>
      <w:r w:rsidR="006E34B1">
        <w:t>G</w:t>
      </w:r>
      <w:r w:rsidR="00CC711E">
        <w:t xml:space="preserve">roup </w:t>
      </w:r>
      <w:r w:rsidR="006E34B1">
        <w:t>W</w:t>
      </w:r>
      <w:r w:rsidR="00CC711E">
        <w:t xml:space="preserve">elfare </w:t>
      </w:r>
      <w:r w:rsidR="006E34B1">
        <w:t>M</w:t>
      </w:r>
      <w:r w:rsidR="00CC711E">
        <w:t>anagers</w:t>
      </w:r>
      <w:r w:rsidR="006E34B1">
        <w:t xml:space="preserve"> participate in the teleconference held by the </w:t>
      </w:r>
      <w:r w:rsidR="00AF187E">
        <w:t>National Welfare Manager</w:t>
      </w:r>
      <w:r w:rsidR="006E34B1">
        <w:t xml:space="preserve"> the </w:t>
      </w:r>
      <w:r w:rsidR="00B77B20">
        <w:t xml:space="preserve">afternoon </w:t>
      </w:r>
      <w:r w:rsidR="006E34B1">
        <w:t xml:space="preserve">of </w:t>
      </w:r>
      <w:r w:rsidR="00604090">
        <w:t xml:space="preserve">Day </w:t>
      </w:r>
      <w:r w:rsidR="00CC711E">
        <w:t>One</w:t>
      </w:r>
      <w:r w:rsidR="00B77B20">
        <w:t xml:space="preserve"> (maximum one hour</w:t>
      </w:r>
      <w:r w:rsidR="000E0341">
        <w:t>)</w:t>
      </w:r>
      <w:r w:rsidR="006E34B1">
        <w:t>.</w:t>
      </w:r>
      <w:r w:rsidR="00AF187E">
        <w:t xml:space="preserve">  The time and call-in details will be provided on the day.</w:t>
      </w:r>
    </w:p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EA5E62" w:rsidRPr="006E34B1" w:rsidRDefault="006E34B1" w:rsidP="00195902">
      <w:pPr>
        <w:pStyle w:val="Heading2"/>
        <w:numPr>
          <w:ilvl w:val="3"/>
          <w:numId w:val="10"/>
        </w:numPr>
        <w:spacing w:after="160"/>
        <w:rPr>
          <w:rFonts w:eastAsiaTheme="minorHAnsi"/>
        </w:rPr>
      </w:pPr>
      <w:r>
        <w:rPr>
          <w:rFonts w:eastAsiaTheme="minorHAnsi"/>
        </w:rPr>
        <w:t>1.5</w:t>
      </w:r>
      <w:r w:rsidR="00EA5E62" w:rsidRPr="006E34B1">
        <w:rPr>
          <w:rFonts w:eastAsiaTheme="minorHAnsi"/>
        </w:rPr>
        <w:t xml:space="preserve"> Optional testing (self-led exercises)</w:t>
      </w:r>
      <w:r>
        <w:rPr>
          <w:rFonts w:eastAsiaTheme="minorHAnsi"/>
        </w:rPr>
        <w:t xml:space="preserve"> </w:t>
      </w:r>
      <w:r w:rsidR="00384F65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Pr="006E34B1">
        <w:rPr>
          <w:rFonts w:eastAsiaTheme="minorHAnsi"/>
        </w:rPr>
        <w:t>1-13 September</w:t>
      </w:r>
      <w:r>
        <w:rPr>
          <w:rFonts w:eastAsiaTheme="minorHAnsi"/>
        </w:rPr>
        <w:t xml:space="preserve"> 2016</w:t>
      </w:r>
    </w:p>
    <w:p w:rsidR="00EA5E62" w:rsidRDefault="00EA5E62" w:rsidP="00EA5E62">
      <w:r>
        <w:t xml:space="preserve">For those that would like to, </w:t>
      </w:r>
      <w:r w:rsidR="0052387D">
        <w:t>the N</w:t>
      </w:r>
      <w:r w:rsidR="00AF187E">
        <w:t>ational Welfare Manager</w:t>
      </w:r>
      <w:r w:rsidR="0052387D">
        <w:t xml:space="preserve"> </w:t>
      </w:r>
      <w:r w:rsidR="00CC711E">
        <w:t>recommends</w:t>
      </w:r>
      <w:r>
        <w:t xml:space="preserve"> that each </w:t>
      </w:r>
      <w:r w:rsidR="0001218A">
        <w:t xml:space="preserve">welfare </w:t>
      </w:r>
      <w:r w:rsidR="0052387D">
        <w:t>services</w:t>
      </w:r>
      <w:r w:rsidR="00CC711E">
        <w:t xml:space="preserve"> </w:t>
      </w:r>
      <w:r>
        <w:t>sub-function</w:t>
      </w:r>
      <w:r w:rsidR="005B1F94">
        <w:t xml:space="preserve"> (national and regional level)</w:t>
      </w:r>
      <w:r w:rsidR="006E34B1">
        <w:t xml:space="preserve"> conducts a table</w:t>
      </w:r>
      <w:r w:rsidR="00B77B20">
        <w:t xml:space="preserve"> </w:t>
      </w:r>
      <w:r>
        <w:t>top discussion exercise to test their activation process</w:t>
      </w:r>
      <w:r w:rsidR="007B4A19">
        <w:t>es</w:t>
      </w:r>
      <w:r>
        <w:t xml:space="preserve">. </w:t>
      </w:r>
    </w:p>
    <w:p w:rsidR="007B4A19" w:rsidRDefault="000319BD" w:rsidP="00EA5E62">
      <w:r>
        <w:t>National</w:t>
      </w:r>
      <w:r w:rsidR="003D7661">
        <w:t>-</w:t>
      </w:r>
      <w:r>
        <w:t xml:space="preserve">level </w:t>
      </w:r>
      <w:r w:rsidR="00D1020A">
        <w:t xml:space="preserve">welfare services </w:t>
      </w:r>
      <w:r>
        <w:t>s</w:t>
      </w:r>
      <w:r w:rsidR="007B4A19">
        <w:t>ub-function Chairs (responsible agencies) are also encouraged to engage with their counterparts at the regional</w:t>
      </w:r>
      <w:r w:rsidR="00CC711E">
        <w:t xml:space="preserve"> </w:t>
      </w:r>
      <w:r w:rsidR="007B4A19">
        <w:t>level (i.e. you may</w:t>
      </w:r>
      <w:r w:rsidR="00672ACA">
        <w:t xml:space="preserve"> wish to run</w:t>
      </w:r>
      <w:r w:rsidR="00CC711E">
        <w:t xml:space="preserve"> a</w:t>
      </w:r>
      <w:r w:rsidR="00672ACA">
        <w:t xml:space="preserve"> national</w:t>
      </w:r>
      <w:r w:rsidR="00B77B20">
        <w:t>–</w:t>
      </w:r>
      <w:r w:rsidR="00672ACA">
        <w:t xml:space="preserve">regional </w:t>
      </w:r>
      <w:r w:rsidR="00B77B20">
        <w:t>s</w:t>
      </w:r>
      <w:r w:rsidR="00672ACA">
        <w:t>ub-function C</w:t>
      </w:r>
      <w:r w:rsidR="007B4A19">
        <w:t xml:space="preserve">hair teleconference), to </w:t>
      </w:r>
      <w:r w:rsidR="007B4A19" w:rsidRPr="000E0341">
        <w:t>capture input at the</w:t>
      </w:r>
      <w:r w:rsidR="007B4A19">
        <w:t xml:space="preserve"> regional level to prepare for activities on </w:t>
      </w:r>
      <w:r w:rsidR="00CC711E">
        <w:t>Day</w:t>
      </w:r>
      <w:r w:rsidR="000F5E56">
        <w:t xml:space="preserve"> </w:t>
      </w:r>
      <w:r w:rsidR="00CC711E">
        <w:t>T</w:t>
      </w:r>
      <w:r w:rsidR="007B4A19">
        <w:t xml:space="preserve">wo. </w:t>
      </w:r>
      <w:r w:rsidR="0052387D">
        <w:t>A</w:t>
      </w:r>
      <w:r w:rsidR="00C34953">
        <w:t xml:space="preserve"> te</w:t>
      </w:r>
      <w:r w:rsidR="00EC2026">
        <w:t xml:space="preserve">mplate is attached </w:t>
      </w:r>
      <w:r w:rsidR="00003365">
        <w:t>(see</w:t>
      </w:r>
      <w:r w:rsidR="00EC2026">
        <w:t xml:space="preserve"> </w:t>
      </w:r>
      <w:r w:rsidR="00EC2026" w:rsidRPr="00EC2026">
        <w:rPr>
          <w:b/>
        </w:rPr>
        <w:t>Appendix 4</w:t>
      </w:r>
      <w:r w:rsidR="00003365" w:rsidRPr="00AF187E">
        <w:t>)</w:t>
      </w:r>
      <w:r w:rsidR="00C34953">
        <w:t xml:space="preserve"> to guide the discussion.</w:t>
      </w:r>
    </w:p>
    <w:p w:rsidR="00EA5E62" w:rsidRDefault="000E0341" w:rsidP="00EA5E62">
      <w:r>
        <w:t>Responsible</w:t>
      </w:r>
      <w:r w:rsidR="0052387D">
        <w:t xml:space="preserve"> </w:t>
      </w:r>
      <w:r w:rsidR="00EA5E62">
        <w:t xml:space="preserve">agencies </w:t>
      </w:r>
      <w:r w:rsidR="007B4A19">
        <w:t xml:space="preserve">at all levels </w:t>
      </w:r>
      <w:r w:rsidR="00EA5E62">
        <w:t xml:space="preserve">may also </w:t>
      </w:r>
      <w:r w:rsidR="0052387D">
        <w:t xml:space="preserve">consider </w:t>
      </w:r>
      <w:r w:rsidR="00EA5E62">
        <w:t>test</w:t>
      </w:r>
      <w:r w:rsidR="0052387D">
        <w:t>ing</w:t>
      </w:r>
      <w:r w:rsidR="00EA5E62">
        <w:t xml:space="preserve"> other related activities during this time (e.g. business continuity, stakeholder reporting/communication</w:t>
      </w:r>
      <w:r w:rsidR="007B4A19">
        <w:t>, transition arrangements</w:t>
      </w:r>
      <w:r w:rsidR="00EA5E62">
        <w:t>).</w:t>
      </w:r>
    </w:p>
    <w:p w:rsidR="007506C5" w:rsidRPr="00EA5E62" w:rsidRDefault="007506C5" w:rsidP="00EA5E62"/>
    <w:p w:rsidR="00A134C9" w:rsidRDefault="009501D9" w:rsidP="00C60E65">
      <w:pPr>
        <w:pStyle w:val="Heading3"/>
      </w:pPr>
      <w:r w:rsidRPr="009501D9">
        <w:rPr>
          <w:sz w:val="32"/>
          <w:szCs w:val="32"/>
        </w:rPr>
        <w:t xml:space="preserve">1.6 </w:t>
      </w:r>
      <w:r w:rsidR="00A134C9" w:rsidRPr="009501D9">
        <w:rPr>
          <w:sz w:val="32"/>
          <w:szCs w:val="32"/>
        </w:rPr>
        <w:t xml:space="preserve">Day </w:t>
      </w:r>
      <w:r w:rsidR="00CC711E">
        <w:rPr>
          <w:sz w:val="32"/>
          <w:szCs w:val="32"/>
        </w:rPr>
        <w:t>Two</w:t>
      </w:r>
      <w:r w:rsidR="007137F4">
        <w:rPr>
          <w:rStyle w:val="FootnoteReference"/>
        </w:rPr>
        <w:footnoteReference w:id="2"/>
      </w:r>
      <w:r w:rsidR="00A134C9" w:rsidRPr="009501D9">
        <w:rPr>
          <w:sz w:val="32"/>
          <w:szCs w:val="32"/>
        </w:rPr>
        <w:t xml:space="preserve">: Wednesday 14 September 2016 (table top discussion </w:t>
      </w:r>
      <w:r w:rsidR="007137F4" w:rsidRPr="009501D9">
        <w:rPr>
          <w:sz w:val="32"/>
          <w:szCs w:val="32"/>
        </w:rPr>
        <w:t>exercise</w:t>
      </w:r>
      <w:r w:rsidR="00A134C9" w:rsidRPr="009501D9">
        <w:rPr>
          <w:sz w:val="32"/>
          <w:szCs w:val="32"/>
        </w:rPr>
        <w:t>)</w:t>
      </w:r>
    </w:p>
    <w:p w:rsidR="009501D9" w:rsidRDefault="009501D9" w:rsidP="009501D9">
      <w:pPr>
        <w:pStyle w:val="Heading8"/>
        <w:pBdr>
          <w:bottom w:val="none" w:sz="0" w:space="0" w:color="auto"/>
        </w:pBdr>
      </w:pPr>
      <w:r>
        <w:t>National-level welfare activities</w:t>
      </w:r>
      <w:r w:rsidR="00C300A9">
        <w:t xml:space="preserve"> – NWCG workshop</w:t>
      </w:r>
    </w:p>
    <w:p w:rsidR="00122A60" w:rsidRPr="00122A60" w:rsidRDefault="00122A60" w:rsidP="00B52C44">
      <w:pPr>
        <w:rPr>
          <w:i/>
        </w:rPr>
      </w:pPr>
      <w:r w:rsidRPr="00122A60">
        <w:rPr>
          <w:i/>
        </w:rPr>
        <w:t xml:space="preserve">Proposed venue: MCDEM Conference Room 4.11 and 4.12 </w:t>
      </w:r>
    </w:p>
    <w:p w:rsidR="00824AAC" w:rsidRDefault="00824AAC" w:rsidP="0001218A">
      <w:pPr>
        <w:pStyle w:val="LHcolumn"/>
      </w:pPr>
    </w:p>
    <w:p w:rsidR="00824AAC" w:rsidRDefault="00824AAC" w:rsidP="0001218A">
      <w:pPr>
        <w:pStyle w:val="LHcolumn"/>
      </w:pPr>
    </w:p>
    <w:p w:rsidR="0001218A" w:rsidRDefault="0001218A" w:rsidP="0001218A">
      <w:pPr>
        <w:pStyle w:val="LHcolumn"/>
      </w:pPr>
      <w:r>
        <w:lastRenderedPageBreak/>
        <w:t>MORNING</w:t>
      </w:r>
    </w:p>
    <w:p w:rsidR="00C300A9" w:rsidRDefault="0033361F" w:rsidP="009501D9">
      <w:r>
        <w:t>Day T</w:t>
      </w:r>
      <w:r w:rsidR="006D39AA">
        <w:t xml:space="preserve">wo </w:t>
      </w:r>
      <w:r>
        <w:t>will include</w:t>
      </w:r>
      <w:r w:rsidR="006D39AA">
        <w:t xml:space="preserve"> a workshop</w:t>
      </w:r>
      <w:r w:rsidR="0052387D">
        <w:t xml:space="preserve"> (3-4 hours)</w:t>
      </w:r>
      <w:r w:rsidR="006D39AA">
        <w:t xml:space="preserve"> with all NWCG </w:t>
      </w:r>
      <w:r w:rsidR="00DC2620">
        <w:t xml:space="preserve">responsible and support </w:t>
      </w:r>
      <w:r w:rsidR="006D39AA">
        <w:t>agencies</w:t>
      </w:r>
      <w:r w:rsidR="00621C53">
        <w:t xml:space="preserve">. </w:t>
      </w:r>
      <w:r w:rsidR="00C300A9">
        <w:t xml:space="preserve">The aim of the workshop is to uncover what challenges, issues, or resourcing shortfalls </w:t>
      </w:r>
      <w:r>
        <w:t>may arise in this scenario</w:t>
      </w:r>
      <w:r w:rsidR="00E241B9">
        <w:t>,</w:t>
      </w:r>
      <w:r w:rsidR="00C300A9">
        <w:t xml:space="preserve"> at the national and regional levels</w:t>
      </w:r>
      <w:r w:rsidR="00E241B9">
        <w:t>,</w:t>
      </w:r>
      <w:r w:rsidR="00C300A9">
        <w:t xml:space="preserve"> that require further attention.</w:t>
      </w:r>
    </w:p>
    <w:p w:rsidR="00C300A9" w:rsidRDefault="00C300A9" w:rsidP="009501D9">
      <w:r>
        <w:t>The outcome of this workshop will feed into a teleconference proposed to be held between the N</w:t>
      </w:r>
      <w:r w:rsidR="00AF187E">
        <w:t>ational Welfare Manager</w:t>
      </w:r>
      <w:r>
        <w:t xml:space="preserve"> and </w:t>
      </w:r>
      <w:r w:rsidR="0052387D">
        <w:t xml:space="preserve">CDEM </w:t>
      </w:r>
      <w:r>
        <w:t>G</w:t>
      </w:r>
      <w:r w:rsidR="0052387D">
        <w:t xml:space="preserve">roup </w:t>
      </w:r>
      <w:r>
        <w:t>W</w:t>
      </w:r>
      <w:r w:rsidR="0052387D">
        <w:t xml:space="preserve">elfare </w:t>
      </w:r>
      <w:r>
        <w:t>M</w:t>
      </w:r>
      <w:r w:rsidR="0052387D">
        <w:t>anagers</w:t>
      </w:r>
      <w:r>
        <w:t xml:space="preserve"> </w:t>
      </w:r>
      <w:r w:rsidR="0052387D">
        <w:t>o</w:t>
      </w:r>
      <w:r>
        <w:t xml:space="preserve">n the afternoon of </w:t>
      </w:r>
      <w:r w:rsidR="0033361F">
        <w:t>D</w:t>
      </w:r>
      <w:r>
        <w:t xml:space="preserve">ay </w:t>
      </w:r>
      <w:r w:rsidR="0033361F">
        <w:t>T</w:t>
      </w:r>
      <w:r>
        <w:t>wo.</w:t>
      </w:r>
    </w:p>
    <w:p w:rsidR="00C300A9" w:rsidRDefault="000871E7" w:rsidP="009501D9">
      <w:r>
        <w:t xml:space="preserve">Using the </w:t>
      </w:r>
      <w:r w:rsidR="000319BD">
        <w:t>National SitRep</w:t>
      </w:r>
      <w:r w:rsidR="00AF187E">
        <w:t xml:space="preserve"> </w:t>
      </w:r>
      <w:r>
        <w:t>and the outcome of any optional testing provid</w:t>
      </w:r>
      <w:r w:rsidR="0033361F">
        <w:t>ing</w:t>
      </w:r>
      <w:r>
        <w:t xml:space="preserve"> contextual information, i</w:t>
      </w:r>
      <w:r w:rsidR="00C300A9">
        <w:t xml:space="preserve">t is proposed that the NWCG workshop will </w:t>
      </w:r>
      <w:r w:rsidR="0033361F">
        <w:t>be conducted</w:t>
      </w:r>
      <w:r w:rsidR="00C300A9">
        <w:t xml:space="preserve"> as follows:</w:t>
      </w:r>
    </w:p>
    <w:p w:rsidR="000319BD" w:rsidRDefault="000319BD" w:rsidP="00195902">
      <w:pPr>
        <w:pStyle w:val="ListParagraph"/>
        <w:numPr>
          <w:ilvl w:val="0"/>
          <w:numId w:val="15"/>
        </w:numPr>
      </w:pPr>
      <w:r>
        <w:t>National situational overview provided (National SitRep)</w:t>
      </w:r>
    </w:p>
    <w:p w:rsidR="000871E7" w:rsidRDefault="00C300A9" w:rsidP="00195902">
      <w:pPr>
        <w:pStyle w:val="ListParagraph"/>
        <w:numPr>
          <w:ilvl w:val="0"/>
          <w:numId w:val="15"/>
        </w:numPr>
      </w:pPr>
      <w:r>
        <w:t xml:space="preserve">Sub-function Chairs </w:t>
      </w:r>
      <w:r w:rsidR="00907158">
        <w:t xml:space="preserve">to </w:t>
      </w:r>
      <w:r>
        <w:t>report back</w:t>
      </w:r>
      <w:r w:rsidR="000871E7">
        <w:t xml:space="preserve"> </w:t>
      </w:r>
      <w:r>
        <w:t>on any optional tes</w:t>
      </w:r>
      <w:r w:rsidR="0033361F">
        <w:t>ting conducted between D</w:t>
      </w:r>
      <w:r>
        <w:t xml:space="preserve">ay </w:t>
      </w:r>
      <w:r w:rsidR="0033361F">
        <w:t>O</w:t>
      </w:r>
      <w:r>
        <w:t xml:space="preserve">ne and </w:t>
      </w:r>
      <w:r w:rsidR="0052387D">
        <w:t xml:space="preserve">Day </w:t>
      </w:r>
      <w:r w:rsidR="0033361F">
        <w:t>T</w:t>
      </w:r>
      <w:r>
        <w:t>wo, including the outcome of</w:t>
      </w:r>
      <w:r w:rsidR="0052387D">
        <w:t xml:space="preserve"> welfare services</w:t>
      </w:r>
      <w:r>
        <w:t xml:space="preserve"> sub-function activations</w:t>
      </w:r>
      <w:r w:rsidR="000871E7">
        <w:t>;</w:t>
      </w:r>
    </w:p>
    <w:p w:rsidR="000871E7" w:rsidRDefault="000871E7" w:rsidP="00195902">
      <w:pPr>
        <w:pStyle w:val="ListParagraph"/>
        <w:numPr>
          <w:ilvl w:val="0"/>
          <w:numId w:val="15"/>
        </w:numPr>
      </w:pPr>
      <w:r>
        <w:t>A</w:t>
      </w:r>
      <w:r w:rsidR="005A2804">
        <w:t xml:space="preserve">gencies </w:t>
      </w:r>
      <w:r>
        <w:t xml:space="preserve">will then </w:t>
      </w:r>
      <w:r w:rsidR="005A2804">
        <w:t xml:space="preserve">break into </w:t>
      </w:r>
      <w:r w:rsidR="0052387D">
        <w:t xml:space="preserve">welfare services </w:t>
      </w:r>
      <w:r w:rsidR="005A2804">
        <w:t>sub-function groups</w:t>
      </w:r>
      <w:r w:rsidR="00DC2620">
        <w:t xml:space="preserve"> where</w:t>
      </w:r>
      <w:r>
        <w:t>:</w:t>
      </w:r>
    </w:p>
    <w:p w:rsidR="00907158" w:rsidRDefault="00CB60E3" w:rsidP="00195902">
      <w:pPr>
        <w:pStyle w:val="ListParagraph"/>
        <w:numPr>
          <w:ilvl w:val="1"/>
          <w:numId w:val="15"/>
        </w:numPr>
      </w:pPr>
      <w:r>
        <w:t>S</w:t>
      </w:r>
      <w:r w:rsidR="00DC2620">
        <w:t>ub</w:t>
      </w:r>
      <w:r w:rsidR="0006602D">
        <w:t xml:space="preserve">-function Chairs will </w:t>
      </w:r>
      <w:r w:rsidR="000319BD">
        <w:t>i</w:t>
      </w:r>
      <w:r w:rsidR="00C300A9">
        <w:t>dentify</w:t>
      </w:r>
      <w:r w:rsidR="00907158">
        <w:t xml:space="preserve"> </w:t>
      </w:r>
      <w:r w:rsidR="0006602D">
        <w:t xml:space="preserve">sub-function </w:t>
      </w:r>
      <w:r w:rsidR="00907158">
        <w:t>challenges,</w:t>
      </w:r>
      <w:r w:rsidR="00C300A9">
        <w:t xml:space="preserve"> issues, process gaps or resourcing shortfalls </w:t>
      </w:r>
      <w:r w:rsidR="0052387D">
        <w:t xml:space="preserve">e.g. </w:t>
      </w:r>
      <w:r w:rsidR="0006602D">
        <w:t xml:space="preserve">as reported by regional </w:t>
      </w:r>
      <w:r w:rsidR="000319BD">
        <w:t>s</w:t>
      </w:r>
      <w:r w:rsidR="0006602D">
        <w:t>ub-function Chairs</w:t>
      </w:r>
      <w:r w:rsidR="0052387D">
        <w:t xml:space="preserve"> via</w:t>
      </w:r>
      <w:r w:rsidR="0006602D">
        <w:t xml:space="preserve"> regional teleconference</w:t>
      </w:r>
      <w:r w:rsidR="0052387D">
        <w:t>s</w:t>
      </w:r>
      <w:r w:rsidR="0006602D">
        <w:t>;</w:t>
      </w:r>
      <w:r w:rsidR="00C300A9">
        <w:t xml:space="preserve"> and </w:t>
      </w:r>
    </w:p>
    <w:p w:rsidR="00C300A9" w:rsidRDefault="00CB60E3" w:rsidP="00195902">
      <w:pPr>
        <w:pStyle w:val="ListParagraph"/>
        <w:numPr>
          <w:ilvl w:val="1"/>
          <w:numId w:val="15"/>
        </w:numPr>
      </w:pPr>
      <w:r>
        <w:t>A</w:t>
      </w:r>
      <w:r w:rsidR="00DC2620">
        <w:t xml:space="preserve">s </w:t>
      </w:r>
      <w:r w:rsidR="0006602D">
        <w:t>a collective, the sub-function will b</w:t>
      </w:r>
      <w:r w:rsidR="00907158">
        <w:t>rain-storm</w:t>
      </w:r>
      <w:r w:rsidR="00C300A9">
        <w:t xml:space="preserve"> potential solution</w:t>
      </w:r>
      <w:r w:rsidR="00907158">
        <w:t>s</w:t>
      </w:r>
      <w:r w:rsidR="0006602D">
        <w:t xml:space="preserve"> to issues raised</w:t>
      </w:r>
      <w:r w:rsidR="00907158">
        <w:t>.</w:t>
      </w:r>
    </w:p>
    <w:p w:rsidR="00907158" w:rsidRDefault="00907158" w:rsidP="00907158">
      <w:r>
        <w:t xml:space="preserve">It is proposed that all </w:t>
      </w:r>
      <w:r w:rsidR="0001218A">
        <w:t xml:space="preserve">welfare services </w:t>
      </w:r>
      <w:r>
        <w:t>sub-functions will report back to the wider-NWCG, to assist with identifying themes</w:t>
      </w:r>
      <w:r w:rsidR="00D518D3">
        <w:t xml:space="preserve"> and building a broader national</w:t>
      </w:r>
      <w:r w:rsidR="00DC2620">
        <w:t>–</w:t>
      </w:r>
      <w:r w:rsidR="00D518D3">
        <w:t>regional picture of how welfare services sub-functions fared during the exercise.</w:t>
      </w:r>
    </w:p>
    <w:p w:rsidR="005B7B23" w:rsidRDefault="005B7B23" w:rsidP="00907158">
      <w:r>
        <w:t xml:space="preserve">Please note that all </w:t>
      </w:r>
      <w:r w:rsidR="00AF187E">
        <w:t>participating agencies</w:t>
      </w:r>
      <w:r>
        <w:t xml:space="preserve"> are required to complete exercise evaluation forms.</w:t>
      </w:r>
    </w:p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C300A9" w:rsidRDefault="0033361F" w:rsidP="00C300A9">
      <w:pPr>
        <w:pStyle w:val="Heading8"/>
        <w:pBdr>
          <w:bottom w:val="none" w:sz="0" w:space="0" w:color="auto"/>
        </w:pBdr>
      </w:pPr>
      <w:r>
        <w:t xml:space="preserve">National </w:t>
      </w:r>
      <w:r w:rsidR="00C300A9">
        <w:t>level welfare activities – NWM-GWM Engagement</w:t>
      </w:r>
    </w:p>
    <w:p w:rsidR="0001218A" w:rsidRDefault="0001218A" w:rsidP="0001218A">
      <w:pPr>
        <w:pStyle w:val="LHcolumn"/>
      </w:pPr>
      <w:r>
        <w:t>AFTERNOON</w:t>
      </w:r>
    </w:p>
    <w:p w:rsidR="00C300A9" w:rsidRDefault="0052387D" w:rsidP="00C300A9">
      <w:r>
        <w:t>The N</w:t>
      </w:r>
      <w:r w:rsidR="00AF187E">
        <w:t>ational Welfare Manager</w:t>
      </w:r>
      <w:r>
        <w:t xml:space="preserve"> </w:t>
      </w:r>
      <w:r w:rsidR="0033361F">
        <w:t>will</w:t>
      </w:r>
      <w:r w:rsidR="00D518D3">
        <w:t xml:space="preserve"> hold a teleconference with all</w:t>
      </w:r>
      <w:r>
        <w:t xml:space="preserve"> CDEM</w:t>
      </w:r>
      <w:r w:rsidR="00D518D3">
        <w:t xml:space="preserve"> G</w:t>
      </w:r>
      <w:r w:rsidR="0033361F">
        <w:t xml:space="preserve">roup </w:t>
      </w:r>
      <w:r w:rsidR="00D518D3">
        <w:t>W</w:t>
      </w:r>
      <w:r w:rsidR="0033361F">
        <w:t xml:space="preserve">elfare </w:t>
      </w:r>
      <w:r w:rsidR="00D518D3">
        <w:t>M</w:t>
      </w:r>
      <w:r w:rsidR="0033361F">
        <w:t>anagers</w:t>
      </w:r>
      <w:r w:rsidR="00D518D3">
        <w:t xml:space="preserve"> on </w:t>
      </w:r>
      <w:r w:rsidR="0030608D">
        <w:t xml:space="preserve">the afternoon of </w:t>
      </w:r>
      <w:r w:rsidR="00604090">
        <w:t xml:space="preserve">Day </w:t>
      </w:r>
      <w:r w:rsidR="000F5E56">
        <w:t xml:space="preserve">Two </w:t>
      </w:r>
      <w:r w:rsidR="00D518D3">
        <w:t xml:space="preserve">of the exercise. </w:t>
      </w:r>
      <w:r w:rsidR="00480A60">
        <w:t xml:space="preserve">Using the template provided (see </w:t>
      </w:r>
      <w:r w:rsidR="00480A60">
        <w:rPr>
          <w:b/>
        </w:rPr>
        <w:t xml:space="preserve">Appendix </w:t>
      </w:r>
      <w:r w:rsidR="00480A60" w:rsidRPr="000E0341">
        <w:rPr>
          <w:b/>
        </w:rPr>
        <w:t>5</w:t>
      </w:r>
      <w:r w:rsidR="00480A60">
        <w:t>), t</w:t>
      </w:r>
      <w:r w:rsidR="00D518D3" w:rsidRPr="00480A60">
        <w:t>he</w:t>
      </w:r>
      <w:r w:rsidR="00D518D3">
        <w:t xml:space="preserve"> aim of the teleconference</w:t>
      </w:r>
      <w:r w:rsidR="0030608D">
        <w:t xml:space="preserve"> (maximum of </w:t>
      </w:r>
      <w:r>
        <w:t>o</w:t>
      </w:r>
      <w:r w:rsidR="00C246CE">
        <w:t>n</w:t>
      </w:r>
      <w:r>
        <w:t>e</w:t>
      </w:r>
      <w:r w:rsidR="0030608D">
        <w:t xml:space="preserve"> hour)</w:t>
      </w:r>
      <w:r w:rsidR="0033361F">
        <w:t xml:space="preserve"> will be</w:t>
      </w:r>
      <w:r w:rsidR="00D518D3">
        <w:t xml:space="preserve"> to </w:t>
      </w:r>
      <w:r w:rsidR="00480A60">
        <w:t xml:space="preserve">share pertinent information, </w:t>
      </w:r>
      <w:r w:rsidR="00D518D3">
        <w:t xml:space="preserve">ascertain how CDEM Groups </w:t>
      </w:r>
      <w:r w:rsidR="00480A60">
        <w:t>are faring</w:t>
      </w:r>
      <w:r w:rsidR="00751F1B">
        <w:t xml:space="preserve"> </w:t>
      </w:r>
      <w:r w:rsidR="00D518D3">
        <w:t>with welfare services sub-functions</w:t>
      </w:r>
      <w:r w:rsidR="00480A60">
        <w:t>,</w:t>
      </w:r>
      <w:r w:rsidR="00D518D3">
        <w:t xml:space="preserve"> </w:t>
      </w:r>
      <w:r w:rsidR="00480A60">
        <w:t xml:space="preserve">and </w:t>
      </w:r>
      <w:r w:rsidR="00751F1B">
        <w:t xml:space="preserve">examine </w:t>
      </w:r>
      <w:r w:rsidR="0030608D">
        <w:t>welfare services challenges, issues</w:t>
      </w:r>
      <w:r w:rsidR="004320AB">
        <w:t>,</w:t>
      </w:r>
      <w:r w:rsidR="0030608D">
        <w:t xml:space="preserve"> or resourcing shortfalls</w:t>
      </w:r>
      <w:r w:rsidR="0033361F">
        <w:t>.</w:t>
      </w:r>
    </w:p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30608D" w:rsidRDefault="0030608D" w:rsidP="0030608D">
      <w:pPr>
        <w:pStyle w:val="Heading8"/>
        <w:pBdr>
          <w:bottom w:val="none" w:sz="0" w:space="0" w:color="auto"/>
        </w:pBdr>
      </w:pPr>
      <w:r>
        <w:t>Regional</w:t>
      </w:r>
      <w:r w:rsidR="0033361F">
        <w:t xml:space="preserve"> </w:t>
      </w:r>
      <w:r>
        <w:t xml:space="preserve">level welfare activities </w:t>
      </w:r>
    </w:p>
    <w:p w:rsidR="0001218A" w:rsidRDefault="0001218A" w:rsidP="00AF187E">
      <w:pPr>
        <w:pStyle w:val="LHcolumn"/>
      </w:pPr>
      <w:r>
        <w:t>MORNING</w:t>
      </w:r>
    </w:p>
    <w:p w:rsidR="0001218A" w:rsidRDefault="0030608D" w:rsidP="0030608D">
      <w:r>
        <w:t xml:space="preserve">The ECC </w:t>
      </w:r>
      <w:r w:rsidR="00665E6C">
        <w:t>W</w:t>
      </w:r>
      <w:r>
        <w:t xml:space="preserve">elfare function may wish to </w:t>
      </w:r>
      <w:r w:rsidR="0052387D">
        <w:t>hold a WCG workshop</w:t>
      </w:r>
      <w:r>
        <w:t>, but all table</w:t>
      </w:r>
      <w:r w:rsidR="00C85A60">
        <w:t xml:space="preserve"> </w:t>
      </w:r>
      <w:r>
        <w:t>top activities are at the CDEM Group</w:t>
      </w:r>
      <w:r w:rsidR="00577BD3">
        <w:t>’</w:t>
      </w:r>
      <w:r>
        <w:t xml:space="preserve">s discretion. </w:t>
      </w:r>
    </w:p>
    <w:p w:rsidR="0001218A" w:rsidRDefault="0001218A" w:rsidP="00AF187E">
      <w:pPr>
        <w:pStyle w:val="LHcolumn"/>
      </w:pPr>
      <w:r>
        <w:t>AFTERNOON</w:t>
      </w:r>
    </w:p>
    <w:p w:rsidR="0030608D" w:rsidRDefault="0052387D" w:rsidP="0030608D">
      <w:r>
        <w:t>The N</w:t>
      </w:r>
      <w:r w:rsidR="00AF187E">
        <w:t>ational Welfare Manager</w:t>
      </w:r>
      <w:r w:rsidR="0030608D">
        <w:t xml:space="preserve"> recommend</w:t>
      </w:r>
      <w:r>
        <w:t>s</w:t>
      </w:r>
      <w:r w:rsidR="0030608D">
        <w:t xml:space="preserve"> that all </w:t>
      </w:r>
      <w:r>
        <w:t xml:space="preserve">CDEM </w:t>
      </w:r>
      <w:r w:rsidR="0030608D">
        <w:t>G</w:t>
      </w:r>
      <w:r w:rsidR="0033361F">
        <w:t xml:space="preserve">roup </w:t>
      </w:r>
      <w:r w:rsidR="0030608D">
        <w:t>W</w:t>
      </w:r>
      <w:r w:rsidR="0033361F">
        <w:t xml:space="preserve">elfare </w:t>
      </w:r>
      <w:r w:rsidR="0030608D">
        <w:t>M</w:t>
      </w:r>
      <w:r w:rsidR="0033361F">
        <w:t>anagers</w:t>
      </w:r>
      <w:r w:rsidR="0030608D">
        <w:t xml:space="preserve"> participate in the teleconference </w:t>
      </w:r>
      <w:r>
        <w:t xml:space="preserve">(see </w:t>
      </w:r>
      <w:r>
        <w:rPr>
          <w:b/>
        </w:rPr>
        <w:t xml:space="preserve">Appendix </w:t>
      </w:r>
      <w:r w:rsidRPr="000E0341">
        <w:rPr>
          <w:b/>
        </w:rPr>
        <w:t>5</w:t>
      </w:r>
      <w:r>
        <w:rPr>
          <w:b/>
        </w:rPr>
        <w:t xml:space="preserve"> </w:t>
      </w:r>
      <w:r>
        <w:t xml:space="preserve">for template) </w:t>
      </w:r>
      <w:r w:rsidR="0030608D" w:rsidRPr="000E0341">
        <w:t>held</w:t>
      </w:r>
      <w:r w:rsidR="0030608D">
        <w:t xml:space="preserve"> by the </w:t>
      </w:r>
      <w:r>
        <w:t>N</w:t>
      </w:r>
      <w:r w:rsidR="00AF187E">
        <w:t>ational Welfare Manager</w:t>
      </w:r>
      <w:r>
        <w:t xml:space="preserve"> on</w:t>
      </w:r>
      <w:r w:rsidR="0030608D">
        <w:t xml:space="preserve"> the afternoon of </w:t>
      </w:r>
      <w:r w:rsidR="00604090">
        <w:t xml:space="preserve">Day </w:t>
      </w:r>
      <w:r w:rsidR="00577BD3">
        <w:t>Two</w:t>
      </w:r>
      <w:r w:rsidR="00D1020A">
        <w:t xml:space="preserve"> to address issues, challenges, and resource shortfalls raised</w:t>
      </w:r>
      <w:r w:rsidR="0030608D">
        <w:t>.</w:t>
      </w:r>
    </w:p>
    <w:p w:rsidR="007506C5" w:rsidRPr="007506C5" w:rsidRDefault="007506C5" w:rsidP="007506C5">
      <w:pPr>
        <w:pStyle w:val="Tinyline"/>
        <w:rPr>
          <w:rFonts w:ascii="Arial" w:hAnsi="Arial"/>
        </w:rPr>
      </w:pPr>
    </w:p>
    <w:p w:rsidR="002B57B7" w:rsidRDefault="002B57B7" w:rsidP="002B57B7">
      <w:pPr>
        <w:pStyle w:val="Heading3"/>
      </w:pPr>
      <w:r>
        <w:rPr>
          <w:sz w:val="32"/>
          <w:szCs w:val="32"/>
        </w:rPr>
        <w:lastRenderedPageBreak/>
        <w:t>1.7</w:t>
      </w:r>
      <w:r w:rsidRPr="009501D9">
        <w:rPr>
          <w:sz w:val="32"/>
          <w:szCs w:val="32"/>
        </w:rPr>
        <w:t xml:space="preserve"> Day </w:t>
      </w:r>
      <w:r w:rsidR="00CC711E">
        <w:rPr>
          <w:sz w:val="32"/>
          <w:szCs w:val="32"/>
        </w:rPr>
        <w:t>Three</w:t>
      </w:r>
      <w:r w:rsidR="00917E93">
        <w:rPr>
          <w:rStyle w:val="FootnoteReference"/>
          <w:sz w:val="32"/>
          <w:szCs w:val="32"/>
        </w:rPr>
        <w:footnoteReference w:id="3"/>
      </w:r>
      <w:r w:rsidRPr="009501D9">
        <w:rPr>
          <w:sz w:val="32"/>
          <w:szCs w:val="32"/>
        </w:rPr>
        <w:t xml:space="preserve">: </w:t>
      </w:r>
      <w:r>
        <w:rPr>
          <w:sz w:val="32"/>
          <w:szCs w:val="32"/>
        </w:rPr>
        <w:t>Wednesday 28</w:t>
      </w:r>
      <w:r w:rsidRPr="009501D9">
        <w:rPr>
          <w:sz w:val="32"/>
          <w:szCs w:val="32"/>
        </w:rPr>
        <w:t xml:space="preserve"> September 2016 (table top discussion exercise)</w:t>
      </w:r>
    </w:p>
    <w:p w:rsidR="00C85A60" w:rsidRDefault="00C02A14" w:rsidP="00C25B28">
      <w:r>
        <w:t xml:space="preserve">Day </w:t>
      </w:r>
      <w:r w:rsidR="0033361F">
        <w:t>Three</w:t>
      </w:r>
      <w:r>
        <w:t xml:space="preserve"> will focus on the early elements of recovery</w:t>
      </w:r>
      <w:r w:rsidR="004900D1">
        <w:t xml:space="preserve">. </w:t>
      </w:r>
    </w:p>
    <w:p w:rsidR="00C85A60" w:rsidRDefault="00C85A60" w:rsidP="00C85A60">
      <w:pPr>
        <w:pStyle w:val="Heading8"/>
        <w:pBdr>
          <w:bottom w:val="none" w:sz="0" w:space="0" w:color="auto"/>
        </w:pBdr>
      </w:pPr>
      <w:r>
        <w:t>National level welfare activities – NWCG on standby</w:t>
      </w:r>
    </w:p>
    <w:p w:rsidR="00C02A14" w:rsidRDefault="004900D1" w:rsidP="00C25B28">
      <w:r>
        <w:t>T</w:t>
      </w:r>
      <w:r w:rsidR="00C02A14">
        <w:t xml:space="preserve">he NWCG </w:t>
      </w:r>
      <w:r w:rsidR="000E0341">
        <w:t>responsible</w:t>
      </w:r>
      <w:r w:rsidR="00FA0A59">
        <w:t xml:space="preserve"> and support</w:t>
      </w:r>
      <w:r>
        <w:t xml:space="preserve"> </w:t>
      </w:r>
      <w:r w:rsidR="009170F4">
        <w:t>agencies</w:t>
      </w:r>
      <w:r>
        <w:t xml:space="preserve"> </w:t>
      </w:r>
      <w:r w:rsidR="00C02A14">
        <w:t xml:space="preserve">will </w:t>
      </w:r>
      <w:r>
        <w:t>be on standby for Day Three</w:t>
      </w:r>
      <w:r w:rsidR="00C85A60">
        <w:t>,</w:t>
      </w:r>
      <w:r>
        <w:t xml:space="preserve"> in case CDEM Groups require national level support for</w:t>
      </w:r>
      <w:r w:rsidR="00B86E94">
        <w:t xml:space="preserve"> co-ordination or</w:t>
      </w:r>
      <w:r>
        <w:t xml:space="preserve"> local delivery of welfare services</w:t>
      </w:r>
      <w:r w:rsidR="00C02A14">
        <w:t>.</w:t>
      </w:r>
    </w:p>
    <w:p w:rsidR="00C85A60" w:rsidRDefault="00C85A60" w:rsidP="00C85A60">
      <w:pPr>
        <w:pStyle w:val="Heading8"/>
        <w:pBdr>
          <w:bottom w:val="none" w:sz="0" w:space="0" w:color="auto"/>
        </w:pBdr>
      </w:pPr>
      <w:r>
        <w:t xml:space="preserve">Regional level welfare activities </w:t>
      </w:r>
    </w:p>
    <w:p w:rsidR="0059062D" w:rsidRDefault="0059062D" w:rsidP="00C25B28">
      <w:r>
        <w:t>CDEM Groups that wish to complete a simple table top discussion may wish to consider the following themes</w:t>
      </w:r>
      <w:r w:rsidR="000319BD">
        <w:t>/questions</w:t>
      </w:r>
      <w:r>
        <w:t>:</w:t>
      </w:r>
    </w:p>
    <w:p w:rsidR="00FA0A59" w:rsidRDefault="00FA0A59" w:rsidP="00195902">
      <w:pPr>
        <w:pStyle w:val="ListParagraph"/>
        <w:numPr>
          <w:ilvl w:val="0"/>
          <w:numId w:val="16"/>
        </w:numPr>
      </w:pPr>
      <w:r>
        <w:t xml:space="preserve">How would the </w:t>
      </w:r>
      <w:r w:rsidR="00665E6C">
        <w:t>W</w:t>
      </w:r>
      <w:r>
        <w:t>elfare function transition into recovery?</w:t>
      </w:r>
    </w:p>
    <w:p w:rsidR="000319BD" w:rsidRDefault="00FA0A59" w:rsidP="00195902">
      <w:pPr>
        <w:pStyle w:val="ListParagraph"/>
        <w:numPr>
          <w:ilvl w:val="0"/>
          <w:numId w:val="16"/>
        </w:numPr>
      </w:pPr>
      <w:r>
        <w:t xml:space="preserve">How </w:t>
      </w:r>
      <w:r w:rsidR="000319BD">
        <w:t xml:space="preserve">would the </w:t>
      </w:r>
      <w:r w:rsidR="00B86E94">
        <w:t xml:space="preserve">CDEM </w:t>
      </w:r>
      <w:r w:rsidR="000319BD">
        <w:t>G</w:t>
      </w:r>
      <w:r w:rsidR="0033361F">
        <w:t xml:space="preserve">roup </w:t>
      </w:r>
      <w:r w:rsidR="000319BD">
        <w:t>W</w:t>
      </w:r>
      <w:r w:rsidR="0033361F">
        <w:t xml:space="preserve">elfare </w:t>
      </w:r>
      <w:r w:rsidR="000319BD">
        <w:t>M</w:t>
      </w:r>
      <w:r w:rsidR="0033361F">
        <w:t>anager</w:t>
      </w:r>
      <w:r w:rsidR="006120FB">
        <w:t xml:space="preserve"> role </w:t>
      </w:r>
      <w:r>
        <w:t xml:space="preserve">transition </w:t>
      </w:r>
      <w:r w:rsidR="000319BD">
        <w:t>into recovery?</w:t>
      </w:r>
    </w:p>
    <w:p w:rsidR="000319BD" w:rsidRDefault="000319BD" w:rsidP="00195902">
      <w:pPr>
        <w:pStyle w:val="ListParagraph"/>
        <w:numPr>
          <w:ilvl w:val="0"/>
          <w:numId w:val="16"/>
        </w:numPr>
      </w:pPr>
      <w:r>
        <w:t>What are the long term social recovery needs?</w:t>
      </w:r>
    </w:p>
    <w:p w:rsidR="000319BD" w:rsidRDefault="000319BD" w:rsidP="00195902">
      <w:pPr>
        <w:pStyle w:val="ListParagraph"/>
        <w:numPr>
          <w:ilvl w:val="0"/>
          <w:numId w:val="16"/>
        </w:numPr>
      </w:pPr>
      <w:r>
        <w:t>Which</w:t>
      </w:r>
      <w:r w:rsidR="00B86E94">
        <w:t xml:space="preserve"> welfare services</w:t>
      </w:r>
      <w:r>
        <w:t xml:space="preserve"> sub-functions are likely to continue into </w:t>
      </w:r>
      <w:r w:rsidR="007A3F32">
        <w:t>immediate</w:t>
      </w:r>
      <w:r>
        <w:t>-, medium-, and long-term recovery?</w:t>
      </w:r>
    </w:p>
    <w:p w:rsidR="000319BD" w:rsidRDefault="000319BD" w:rsidP="00195902">
      <w:pPr>
        <w:pStyle w:val="ListParagraph"/>
        <w:numPr>
          <w:ilvl w:val="0"/>
          <w:numId w:val="16"/>
        </w:numPr>
      </w:pPr>
      <w:r>
        <w:t>What are the resourcing shortfalls?</w:t>
      </w:r>
    </w:p>
    <w:p w:rsidR="000319BD" w:rsidRDefault="000319BD" w:rsidP="00195902">
      <w:pPr>
        <w:pStyle w:val="ListParagraph"/>
        <w:numPr>
          <w:ilvl w:val="0"/>
          <w:numId w:val="16"/>
        </w:numPr>
      </w:pPr>
      <w:r>
        <w:t>What early recovery planning would be necessary for social recovery?</w:t>
      </w:r>
    </w:p>
    <w:p w:rsidR="0059062D" w:rsidRDefault="00610CDD" w:rsidP="00195902">
      <w:pPr>
        <w:pStyle w:val="ListParagraph"/>
        <w:numPr>
          <w:ilvl w:val="0"/>
          <w:numId w:val="16"/>
        </w:numPr>
      </w:pPr>
      <w:r>
        <w:t>Transition arrangements</w:t>
      </w:r>
      <w:r w:rsidR="0059062D">
        <w:t xml:space="preserve"> (if applicable), including </w:t>
      </w:r>
      <w:r w:rsidR="007A3F32">
        <w:t>i</w:t>
      </w:r>
      <w:r w:rsidR="0059062D">
        <w:t>nformation and communication flows</w:t>
      </w:r>
    </w:p>
    <w:p w:rsidR="00D80556" w:rsidRDefault="00D80556" w:rsidP="00195902">
      <w:pPr>
        <w:pStyle w:val="ListParagraph"/>
        <w:numPr>
          <w:ilvl w:val="0"/>
          <w:numId w:val="16"/>
        </w:numPr>
      </w:pPr>
      <w:r>
        <w:t>Reporting measures/processes.</w:t>
      </w:r>
    </w:p>
    <w:p w:rsidR="009D613C" w:rsidRDefault="009D613C" w:rsidP="00AF187E"/>
    <w:p w:rsidR="009D613C" w:rsidRDefault="009D613C" w:rsidP="009D613C">
      <w:pPr>
        <w:pStyle w:val="Heading3"/>
      </w:pPr>
      <w:r>
        <w:rPr>
          <w:sz w:val="32"/>
          <w:szCs w:val="32"/>
        </w:rPr>
        <w:t>1.8</w:t>
      </w:r>
      <w:r w:rsidRPr="009501D9">
        <w:rPr>
          <w:sz w:val="32"/>
          <w:szCs w:val="32"/>
        </w:rPr>
        <w:t xml:space="preserve"> </w:t>
      </w:r>
      <w:r>
        <w:rPr>
          <w:sz w:val="32"/>
          <w:szCs w:val="32"/>
        </w:rPr>
        <w:t>Evaluation</w:t>
      </w:r>
    </w:p>
    <w:p w:rsidR="00D80556" w:rsidRDefault="00D80556" w:rsidP="00AF187E">
      <w:r>
        <w:t xml:space="preserve">Please note that all </w:t>
      </w:r>
      <w:r w:rsidR="00AF187E">
        <w:t>participating agencies</w:t>
      </w:r>
      <w:r>
        <w:t xml:space="preserve"> are expected to complete exercise evaluation forms</w:t>
      </w:r>
      <w:r w:rsidR="009D613C">
        <w:t>,</w:t>
      </w:r>
      <w:r>
        <w:t xml:space="preserve"> regardless of the number of days of participation.</w:t>
      </w:r>
    </w:p>
    <w:p w:rsidR="006B7EDC" w:rsidRDefault="006B7EDC">
      <w:pPr>
        <w:spacing w:before="0" w:after="0" w:line="240" w:lineRule="auto"/>
        <w:rPr>
          <w:rFonts w:ascii="Arial Narrow" w:eastAsiaTheme="majorEastAsia" w:hAnsi="Arial Narrow" w:cstheme="majorBidi"/>
          <w:b/>
          <w:bCs/>
          <w:i/>
          <w:iCs/>
          <w:color w:val="005A9B" w:themeColor="background2"/>
          <w:sz w:val="28"/>
          <w:szCs w:val="20"/>
        </w:rPr>
      </w:pPr>
      <w:r>
        <w:br w:type="page"/>
      </w:r>
    </w:p>
    <w:p w:rsidR="006B7EDC" w:rsidRDefault="006B7EDC" w:rsidP="006B7EDC">
      <w:pPr>
        <w:pStyle w:val="Heading6"/>
      </w:pPr>
      <w:r>
        <w:t>Appendix</w:t>
      </w:r>
      <w:r w:rsidR="00C02A14">
        <w:t xml:space="preserve"> 1</w:t>
      </w:r>
      <w:r w:rsidR="007857ED">
        <w:t xml:space="preserve">: </w:t>
      </w:r>
      <w:r w:rsidR="00EC2026">
        <w:t>NWCG Exercise P</w:t>
      </w:r>
      <w:r w:rsidR="007857ED">
        <w:t xml:space="preserve">layers </w:t>
      </w:r>
      <w:r w:rsidR="00EC2026">
        <w:t>L</w:t>
      </w:r>
      <w:r w:rsidR="007857ED">
        <w:t>ist</w:t>
      </w:r>
    </w:p>
    <w:p w:rsidR="006B7EDC" w:rsidRDefault="00EC2026" w:rsidP="00EC2026">
      <w:pPr>
        <w:pStyle w:val="Heading8"/>
        <w:pBdr>
          <w:bottom w:val="none" w:sz="0" w:space="0" w:color="auto"/>
        </w:pBdr>
        <w:sectPr w:rsidR="006B7EDC" w:rsidSect="006B7EDC">
          <w:footerReference w:type="default" r:id="rId8"/>
          <w:type w:val="continuous"/>
          <w:pgSz w:w="11906" w:h="16838"/>
          <w:pgMar w:top="1191" w:right="1191" w:bottom="794" w:left="1191" w:header="709" w:footer="420" w:gutter="0"/>
          <w:cols w:space="708"/>
          <w:docGrid w:linePitch="360"/>
        </w:sectPr>
      </w:pPr>
      <w:r>
        <w:t>Responsible agencies</w:t>
      </w:r>
    </w:p>
    <w:p w:rsidR="006B7EDC" w:rsidRDefault="006147F5" w:rsidP="00195902">
      <w:pPr>
        <w:pStyle w:val="ListParagraph"/>
        <w:numPr>
          <w:ilvl w:val="0"/>
          <w:numId w:val="13"/>
        </w:numPr>
      </w:pPr>
      <w:r>
        <w:t>Ministry of Civil Defence &amp; Emergency Management</w:t>
      </w:r>
    </w:p>
    <w:p w:rsidR="006B7EDC" w:rsidRDefault="006B7EDC" w:rsidP="00195902">
      <w:pPr>
        <w:pStyle w:val="ListParagraph"/>
        <w:numPr>
          <w:ilvl w:val="0"/>
          <w:numId w:val="13"/>
        </w:numPr>
      </w:pPr>
      <w:r>
        <w:t>NZ Police</w:t>
      </w:r>
    </w:p>
    <w:p w:rsidR="006B7EDC" w:rsidRDefault="006147F5" w:rsidP="00195902">
      <w:pPr>
        <w:pStyle w:val="ListParagraph"/>
        <w:numPr>
          <w:ilvl w:val="0"/>
          <w:numId w:val="13"/>
        </w:numPr>
      </w:pPr>
      <w:r>
        <w:t>Ministry of Business, Innovation</w:t>
      </w:r>
      <w:r w:rsidR="0073073A">
        <w:t xml:space="preserve"> and</w:t>
      </w:r>
      <w:r>
        <w:t xml:space="preserve"> Employment</w:t>
      </w:r>
    </w:p>
    <w:p w:rsidR="006B7EDC" w:rsidRDefault="006B7EDC" w:rsidP="00195902">
      <w:pPr>
        <w:pStyle w:val="ListParagraph"/>
        <w:numPr>
          <w:ilvl w:val="0"/>
          <w:numId w:val="13"/>
        </w:numPr>
      </w:pPr>
      <w:r>
        <w:t>Ministry of Health</w:t>
      </w:r>
    </w:p>
    <w:p w:rsidR="006B7EDC" w:rsidRDefault="006147F5" w:rsidP="00195902">
      <w:pPr>
        <w:pStyle w:val="ListParagraph"/>
        <w:numPr>
          <w:ilvl w:val="0"/>
          <w:numId w:val="13"/>
        </w:numPr>
      </w:pPr>
      <w:r>
        <w:t>Ministry of Social Development</w:t>
      </w:r>
    </w:p>
    <w:p w:rsidR="006B7EDC" w:rsidRDefault="006B7EDC" w:rsidP="00195902">
      <w:pPr>
        <w:pStyle w:val="ListParagraph"/>
        <w:numPr>
          <w:ilvl w:val="1"/>
          <w:numId w:val="13"/>
        </w:numPr>
      </w:pPr>
      <w:r>
        <w:t>Child, Youth and Family</w:t>
      </w:r>
    </w:p>
    <w:p w:rsidR="006B7EDC" w:rsidRDefault="006B7EDC" w:rsidP="00195902">
      <w:pPr>
        <w:pStyle w:val="ListParagraph"/>
        <w:numPr>
          <w:ilvl w:val="1"/>
          <w:numId w:val="13"/>
        </w:numPr>
      </w:pPr>
      <w:r>
        <w:t>Work and Income</w:t>
      </w:r>
    </w:p>
    <w:p w:rsidR="006B7EDC" w:rsidRDefault="0073073A" w:rsidP="00195902">
      <w:pPr>
        <w:pStyle w:val="ListParagraph"/>
        <w:numPr>
          <w:ilvl w:val="0"/>
          <w:numId w:val="13"/>
        </w:numPr>
      </w:pPr>
      <w:r>
        <w:t>Ministry for</w:t>
      </w:r>
      <w:r w:rsidR="006147F5">
        <w:t xml:space="preserve"> Primary Industries</w:t>
      </w:r>
    </w:p>
    <w:p w:rsidR="006B7EDC" w:rsidRDefault="006B7EDC" w:rsidP="006B7EDC">
      <w:pPr>
        <w:pStyle w:val="LHcolumn"/>
        <w:sectPr w:rsidR="006B7EDC" w:rsidSect="006B7EDC">
          <w:type w:val="continuous"/>
          <w:pgSz w:w="11906" w:h="16838"/>
          <w:pgMar w:top="1191" w:right="1191" w:bottom="794" w:left="1191" w:header="709" w:footer="420" w:gutter="0"/>
          <w:cols w:num="2" w:space="708"/>
          <w:docGrid w:linePitch="360"/>
        </w:sectPr>
      </w:pPr>
    </w:p>
    <w:p w:rsidR="00EC2026" w:rsidRDefault="00EC2026" w:rsidP="006B7EDC">
      <w:pPr>
        <w:pStyle w:val="LHcolumn"/>
      </w:pPr>
    </w:p>
    <w:p w:rsidR="006B7EDC" w:rsidRPr="00C60E65" w:rsidRDefault="00EC2026" w:rsidP="006B7EDC">
      <w:pPr>
        <w:pStyle w:val="LHcolumn"/>
        <w:rPr>
          <w:rFonts w:asciiTheme="minorHAnsi" w:hAnsiTheme="minorHAnsi"/>
          <w:b w:val="0"/>
          <w:i/>
          <w:color w:val="auto"/>
        </w:rPr>
      </w:pPr>
      <w:r>
        <w:rPr>
          <w:rFonts w:eastAsiaTheme="majorEastAsia" w:cstheme="majorBidi"/>
          <w:bCs/>
          <w:sz w:val="28"/>
          <w:szCs w:val="20"/>
        </w:rPr>
        <w:t>Support agencies</w:t>
      </w:r>
      <w:r w:rsidR="006B7EDC">
        <w:t xml:space="preserve"> </w:t>
      </w:r>
      <w:r w:rsidR="006B7EDC" w:rsidRPr="00C60E65">
        <w:rPr>
          <w:rFonts w:asciiTheme="minorHAnsi" w:hAnsiTheme="minorHAnsi"/>
          <w:b w:val="0"/>
          <w:i/>
          <w:color w:val="auto"/>
        </w:rPr>
        <w:t>(at the request of the NWCG – participation TBC)</w:t>
      </w:r>
    </w:p>
    <w:p w:rsidR="006B7EDC" w:rsidRDefault="006B7EDC" w:rsidP="006B7EDC">
      <w:pPr>
        <w:pStyle w:val="LHcolumn"/>
        <w:rPr>
          <w:highlight w:val="yellow"/>
        </w:rPr>
        <w:sectPr w:rsidR="006B7EDC" w:rsidSect="006B7EDC">
          <w:type w:val="continuous"/>
          <w:pgSz w:w="11906" w:h="16838"/>
          <w:pgMar w:top="1191" w:right="1191" w:bottom="794" w:left="1191" w:header="709" w:footer="420" w:gutter="0"/>
          <w:cols w:space="708"/>
          <w:docGrid w:linePitch="360"/>
        </w:sectPr>
      </w:pPr>
    </w:p>
    <w:p w:rsidR="006B7EDC" w:rsidRPr="00EC2026" w:rsidRDefault="006B7EDC" w:rsidP="00195902">
      <w:pPr>
        <w:pStyle w:val="ListParagraph"/>
        <w:numPr>
          <w:ilvl w:val="0"/>
          <w:numId w:val="14"/>
        </w:numPr>
      </w:pPr>
      <w:r w:rsidRPr="00EC2026">
        <w:t xml:space="preserve">Ministry of Education </w:t>
      </w:r>
    </w:p>
    <w:p w:rsidR="006B7EDC" w:rsidRDefault="006147F5" w:rsidP="00195902">
      <w:pPr>
        <w:pStyle w:val="ListParagraph"/>
        <w:numPr>
          <w:ilvl w:val="0"/>
          <w:numId w:val="14"/>
        </w:numPr>
      </w:pPr>
      <w:r>
        <w:t>Housing New Zealand Corporation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NZ</w:t>
      </w:r>
      <w:r w:rsidR="006147F5">
        <w:t xml:space="preserve"> </w:t>
      </w:r>
      <w:r>
        <w:t>D</w:t>
      </w:r>
      <w:r w:rsidR="006147F5">
        <w:t xml:space="preserve">efence </w:t>
      </w:r>
      <w:r>
        <w:t>F</w:t>
      </w:r>
      <w:r w:rsidR="006147F5">
        <w:t>orce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T</w:t>
      </w:r>
      <w:r w:rsidR="006147F5">
        <w:t>e Puni Kōkiri</w:t>
      </w:r>
    </w:p>
    <w:p w:rsidR="006B7EDC" w:rsidRDefault="006147F5" w:rsidP="00195902">
      <w:pPr>
        <w:pStyle w:val="ListParagraph"/>
        <w:numPr>
          <w:ilvl w:val="0"/>
          <w:numId w:val="14"/>
        </w:numPr>
      </w:pPr>
      <w:r>
        <w:t xml:space="preserve">Ministry of Foreign </w:t>
      </w:r>
      <w:r w:rsidR="0073073A">
        <w:t>Affairs and Trade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MSD – Office for Disability Issues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DIA –</w:t>
      </w:r>
      <w:r w:rsidR="004C6D1C">
        <w:t xml:space="preserve"> </w:t>
      </w:r>
      <w:r>
        <w:t>Office of Ethnic Communities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 xml:space="preserve">Ministry </w:t>
      </w:r>
      <w:r w:rsidR="006147F5">
        <w:t>for Pacific Peoples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NZ</w:t>
      </w:r>
      <w:r w:rsidR="006147F5">
        <w:t xml:space="preserve"> </w:t>
      </w:r>
      <w:r>
        <w:t>R</w:t>
      </w:r>
      <w:r w:rsidR="006147F5">
        <w:t xml:space="preserve">ed </w:t>
      </w:r>
      <w:r>
        <w:t>C</w:t>
      </w:r>
      <w:r w:rsidR="006147F5">
        <w:t>ross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Salvation Army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Victim Support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St John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Save the Children NZ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NZ Food &amp; Grocery Council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I</w:t>
      </w:r>
      <w:r w:rsidR="006147F5">
        <w:t>nland Revenue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EQC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ACC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I</w:t>
      </w:r>
      <w:r w:rsidR="006147F5">
        <w:t xml:space="preserve">nsurance Council of </w:t>
      </w:r>
      <w:r>
        <w:t>NZ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Federated Farmers</w:t>
      </w:r>
      <w:r w:rsidR="0073073A">
        <w:t xml:space="preserve"> of NZ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NZ</w:t>
      </w:r>
      <w:r w:rsidR="006147F5">
        <w:t xml:space="preserve"> </w:t>
      </w:r>
      <w:r>
        <w:t>V</w:t>
      </w:r>
      <w:r w:rsidR="006147F5">
        <w:t xml:space="preserve">eterinary </w:t>
      </w:r>
      <w:r>
        <w:t>A</w:t>
      </w:r>
      <w:r w:rsidR="006147F5">
        <w:t>ssociation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NZ Companion Animal Council</w:t>
      </w:r>
    </w:p>
    <w:p w:rsidR="006B7EDC" w:rsidRDefault="0073073A" w:rsidP="00195902">
      <w:pPr>
        <w:pStyle w:val="ListParagraph"/>
        <w:numPr>
          <w:ilvl w:val="0"/>
          <w:numId w:val="14"/>
        </w:numPr>
      </w:pPr>
      <w:r>
        <w:t>Royal Society for the Prevention of Cruelty to Animals</w:t>
      </w:r>
    </w:p>
    <w:p w:rsidR="006B7EDC" w:rsidRDefault="006B7EDC" w:rsidP="00195902">
      <w:pPr>
        <w:pStyle w:val="ListParagraph"/>
        <w:numPr>
          <w:ilvl w:val="0"/>
          <w:numId w:val="14"/>
        </w:numPr>
      </w:pPr>
      <w:r>
        <w:t>NZ Institute of Animal Control Officers</w:t>
      </w:r>
    </w:p>
    <w:p w:rsidR="006B7EDC" w:rsidRDefault="006B7EDC" w:rsidP="006B7EDC">
      <w:pPr>
        <w:pStyle w:val="ListParagraph"/>
        <w:sectPr w:rsidR="006B7EDC" w:rsidSect="002E3BAA">
          <w:type w:val="continuous"/>
          <w:pgSz w:w="11906" w:h="16838"/>
          <w:pgMar w:top="1191" w:right="1191" w:bottom="794" w:left="1191" w:header="709" w:footer="420" w:gutter="0"/>
          <w:cols w:num="2" w:space="708"/>
          <w:docGrid w:linePitch="360"/>
        </w:sectPr>
      </w:pPr>
    </w:p>
    <w:p w:rsidR="006B7EDC" w:rsidRPr="002E3BAA" w:rsidRDefault="006B7EDC" w:rsidP="006B7EDC">
      <w:pPr>
        <w:pStyle w:val="ListParagraph"/>
      </w:pPr>
    </w:p>
    <w:p w:rsidR="00C02A14" w:rsidRDefault="00C02A14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:rsidR="00C02A14" w:rsidRDefault="00EC2026" w:rsidP="00C02A14">
      <w:pPr>
        <w:pStyle w:val="Heading6"/>
      </w:pPr>
      <w:r>
        <w:t>Appendix 2</w:t>
      </w:r>
      <w:r w:rsidR="007857ED">
        <w:t xml:space="preserve">: </w:t>
      </w:r>
      <w:r>
        <w:t xml:space="preserve">National Welfare Manager </w:t>
      </w:r>
      <w:r w:rsidR="00B53F25">
        <w:t>–</w:t>
      </w:r>
      <w:r>
        <w:t xml:space="preserve"> </w:t>
      </w:r>
      <w:r w:rsidR="00A33BCF">
        <w:t xml:space="preserve">CDEM </w:t>
      </w:r>
      <w:r>
        <w:t>Group Welfare Managers T</w:t>
      </w:r>
      <w:r w:rsidR="007857ED">
        <w:t xml:space="preserve">eleconference </w:t>
      </w:r>
      <w:r w:rsidR="006C1C72">
        <w:t>(Day 1</w:t>
      </w:r>
      <w:r w:rsidR="00E27C50">
        <w:t xml:space="preserve"> afternoon</w:t>
      </w:r>
      <w:r w:rsidR="006C1C72">
        <w:t>)</w:t>
      </w:r>
    </w:p>
    <w:p w:rsidR="007864C6" w:rsidRPr="007864C6" w:rsidRDefault="007864C6" w:rsidP="007864C6"/>
    <w:p w:rsidR="007864C6" w:rsidRPr="002D6FF0" w:rsidRDefault="007864C6" w:rsidP="007864C6">
      <w:pPr>
        <w:pStyle w:val="Titlesubheadingsnotforcontents"/>
        <w:rPr>
          <w:color w:val="4BACC6" w:themeColor="accent5"/>
        </w:rPr>
      </w:pPr>
      <w:r w:rsidRPr="002D6FF0">
        <w:rPr>
          <w:noProof/>
          <w:color w:val="4BACC6" w:themeColor="accent5"/>
          <w:lang w:eastAsia="en-NZ"/>
        </w:rPr>
        <w:drawing>
          <wp:anchor distT="0" distB="0" distL="114300" distR="114300" simplePos="0" relativeHeight="251659264" behindDoc="1" locked="0" layoutInCell="1" allowOverlap="1" wp14:anchorId="768D88D1" wp14:editId="2EC6BCD4">
            <wp:simplePos x="0" y="0"/>
            <wp:positionH relativeFrom="column">
              <wp:posOffset>-70485</wp:posOffset>
            </wp:positionH>
            <wp:positionV relativeFrom="paragraph">
              <wp:posOffset>-43815</wp:posOffset>
            </wp:positionV>
            <wp:extent cx="523875" cy="531495"/>
            <wp:effectExtent l="0" t="0" r="9525" b="1905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FF0">
        <w:rPr>
          <w:color w:val="4BACC6" w:themeColor="accent5"/>
        </w:rPr>
        <w:t>Tsunami Teleconference Schedule</w:t>
      </w:r>
    </w:p>
    <w:p w:rsidR="007864C6" w:rsidRPr="00AF54DD" w:rsidRDefault="007864C6" w:rsidP="007864C6"/>
    <w:tbl>
      <w:tblPr>
        <w:tblStyle w:val="TableGrid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145"/>
        <w:gridCol w:w="7241"/>
      </w:tblGrid>
      <w:tr w:rsidR="003C5DC2" w:rsidTr="003C5DC2">
        <w:tc>
          <w:tcPr>
            <w:tcW w:w="2145" w:type="dxa"/>
            <w:shd w:val="clear" w:color="auto" w:fill="4BACC6" w:themeFill="accent5"/>
          </w:tcPr>
          <w:p w:rsidR="007864C6" w:rsidRDefault="007864C6" w:rsidP="00E60EDF">
            <w:pPr>
              <w:pStyle w:val="Tableheading"/>
            </w:pPr>
            <w:r>
              <w:t>Topic:</w:t>
            </w:r>
          </w:p>
        </w:tc>
        <w:tc>
          <w:tcPr>
            <w:tcW w:w="7241" w:type="dxa"/>
            <w:shd w:val="clear" w:color="auto" w:fill="4BACC6" w:themeFill="accent5"/>
          </w:tcPr>
          <w:p w:rsidR="007864C6" w:rsidRDefault="007864C6" w:rsidP="00E60EDF">
            <w:pPr>
              <w:pStyle w:val="Tableheading"/>
            </w:pPr>
            <w:r>
              <w:t>Description</w:t>
            </w:r>
          </w:p>
        </w:tc>
      </w:tr>
      <w:tr w:rsidR="007864C6" w:rsidRPr="00780146" w:rsidTr="003C5DC2">
        <w:tc>
          <w:tcPr>
            <w:tcW w:w="2145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Introduction</w:t>
            </w:r>
          </w:p>
        </w:tc>
        <w:tc>
          <w:tcPr>
            <w:tcW w:w="7241" w:type="dxa"/>
          </w:tcPr>
          <w:p w:rsidR="007864C6" w:rsidRDefault="003C5DC2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National Welfare Manager (representing the NWCG)</w:t>
            </w:r>
          </w:p>
          <w:p w:rsidR="007864C6" w:rsidRDefault="007864C6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CDEM Group representative</w:t>
            </w:r>
            <w:r w:rsidR="003C5DC2">
              <w:t>s</w:t>
            </w:r>
            <w:r>
              <w:t xml:space="preserve"> attending the teleconference (including those listening in)</w:t>
            </w:r>
          </w:p>
          <w:p w:rsidR="007864C6" w:rsidRPr="00F9548D" w:rsidRDefault="007864C6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Any other parties</w:t>
            </w:r>
          </w:p>
        </w:tc>
      </w:tr>
      <w:tr w:rsidR="007864C6" w:rsidRPr="00780146" w:rsidTr="003C5DC2">
        <w:tc>
          <w:tcPr>
            <w:tcW w:w="2145" w:type="dxa"/>
          </w:tcPr>
          <w:p w:rsidR="007864C6" w:rsidRPr="00471846" w:rsidRDefault="003C5DC2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National Welfare Manager</w:t>
            </w:r>
          </w:p>
        </w:tc>
        <w:tc>
          <w:tcPr>
            <w:tcW w:w="7241" w:type="dxa"/>
          </w:tcPr>
          <w:p w:rsidR="007864C6" w:rsidRDefault="007864C6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Brief overview of the</w:t>
            </w:r>
            <w:r w:rsidR="003C5DC2">
              <w:t xml:space="preserve"> situation and</w:t>
            </w:r>
            <w:r w:rsidR="00B53F25">
              <w:t xml:space="preserve"> likely</w:t>
            </w:r>
            <w:r w:rsidR="003C5DC2">
              <w:t xml:space="preserve"> welfare implications</w:t>
            </w:r>
          </w:p>
          <w:p w:rsidR="007864C6" w:rsidRDefault="007864C6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NCMC National Sit</w:t>
            </w:r>
            <w:r w:rsidR="00B53F25">
              <w:t>R</w:t>
            </w:r>
            <w:r>
              <w:t>ep issue time</w:t>
            </w:r>
          </w:p>
          <w:p w:rsidR="007864C6" w:rsidRPr="00F9548D" w:rsidRDefault="003C5DC2" w:rsidP="003C5DC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Update from NWCG and national</w:t>
            </w:r>
            <w:r w:rsidR="00DC2620">
              <w:t xml:space="preserve"> welfare services</w:t>
            </w:r>
            <w:r>
              <w:t xml:space="preserve"> sub-functions (if activated)</w:t>
            </w:r>
          </w:p>
        </w:tc>
      </w:tr>
      <w:tr w:rsidR="007864C6" w:rsidRPr="00780146" w:rsidTr="003C5DC2">
        <w:tc>
          <w:tcPr>
            <w:tcW w:w="2145" w:type="dxa"/>
          </w:tcPr>
          <w:p w:rsidR="007864C6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CDEM Groups</w:t>
            </w:r>
          </w:p>
        </w:tc>
        <w:tc>
          <w:tcPr>
            <w:tcW w:w="7241" w:type="dxa"/>
          </w:tcPr>
          <w:p w:rsidR="007864C6" w:rsidRPr="00AF54D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 w:hanging="357"/>
              <w:rPr>
                <w:i/>
              </w:rPr>
            </w:pPr>
            <w:r w:rsidRPr="00AF54DD">
              <w:rPr>
                <w:b/>
                <w:i/>
              </w:rPr>
              <w:t>Note:</w:t>
            </w:r>
            <w:r>
              <w:rPr>
                <w:i/>
              </w:rPr>
              <w:t xml:space="preserve"> The </w:t>
            </w:r>
            <w:r w:rsidR="00967894">
              <w:rPr>
                <w:i/>
              </w:rPr>
              <w:t xml:space="preserve">CDEM </w:t>
            </w:r>
            <w:r>
              <w:rPr>
                <w:i/>
              </w:rPr>
              <w:t xml:space="preserve">Group speaking order </w:t>
            </w:r>
            <w:r w:rsidR="00EC2026">
              <w:rPr>
                <w:i/>
              </w:rPr>
              <w:t xml:space="preserve">will follow </w:t>
            </w:r>
            <w:r>
              <w:rPr>
                <w:i/>
              </w:rPr>
              <w:t>North to South</w:t>
            </w:r>
          </w:p>
          <w:p w:rsidR="007864C6" w:rsidRDefault="007864C6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rPr>
                <w:b/>
                <w:u w:val="single"/>
              </w:rPr>
              <w:t>Brief</w:t>
            </w:r>
            <w:r>
              <w:t xml:space="preserve"> overview of the </w:t>
            </w:r>
            <w:r w:rsidR="006C1C72">
              <w:t xml:space="preserve">response in region, including </w:t>
            </w:r>
            <w:r w:rsidR="00B53F25">
              <w:t xml:space="preserve">any </w:t>
            </w:r>
            <w:r w:rsidR="00B53F25" w:rsidRPr="00B53F25">
              <w:rPr>
                <w:b/>
              </w:rPr>
              <w:t>known areas</w:t>
            </w:r>
            <w:r w:rsidR="00B53F25">
              <w:t xml:space="preserve"> to be evacuated</w:t>
            </w:r>
            <w:r w:rsidR="006C1C72">
              <w:t xml:space="preserve">, </w:t>
            </w:r>
            <w:r w:rsidR="006C1C72">
              <w:rPr>
                <w:b/>
              </w:rPr>
              <w:t>potential</w:t>
            </w:r>
            <w:r w:rsidR="006C1C72">
              <w:t xml:space="preserve"> pinch points, and </w:t>
            </w:r>
            <w:r w:rsidR="006C1C72">
              <w:rPr>
                <w:b/>
              </w:rPr>
              <w:t xml:space="preserve">proposed </w:t>
            </w:r>
            <w:r w:rsidR="006C1C72" w:rsidRPr="006C1C72">
              <w:t>prioritisation</w:t>
            </w:r>
            <w:r w:rsidR="006C1C72">
              <w:t xml:space="preserve"> of welfare services</w:t>
            </w:r>
          </w:p>
          <w:p w:rsidR="003C5DC2" w:rsidRDefault="007864C6" w:rsidP="003C5DC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 w:rsidRPr="006C1C72">
              <w:rPr>
                <w:b/>
              </w:rPr>
              <w:t>Anticip</w:t>
            </w:r>
            <w:r w:rsidR="006C1C72" w:rsidRPr="006C1C72">
              <w:rPr>
                <w:b/>
              </w:rPr>
              <w:t>ated</w:t>
            </w:r>
            <w:r w:rsidR="006C1C72">
              <w:t xml:space="preserve"> communication or information issues</w:t>
            </w:r>
          </w:p>
          <w:p w:rsidR="007864C6" w:rsidRPr="003C5DC2" w:rsidRDefault="006C1C72" w:rsidP="00B53F25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 w:rsidRPr="006C1C72">
              <w:rPr>
                <w:b/>
              </w:rPr>
              <w:t>Anticipated</w:t>
            </w:r>
            <w:r>
              <w:t xml:space="preserve"> resource shortfalls for welfare service provision</w:t>
            </w:r>
          </w:p>
        </w:tc>
      </w:tr>
      <w:tr w:rsidR="007864C6" w:rsidRPr="00780146" w:rsidTr="003C5DC2">
        <w:tc>
          <w:tcPr>
            <w:tcW w:w="2145" w:type="dxa"/>
          </w:tcPr>
          <w:p w:rsidR="007864C6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Summary</w:t>
            </w:r>
          </w:p>
        </w:tc>
        <w:tc>
          <w:tcPr>
            <w:tcW w:w="7241" w:type="dxa"/>
          </w:tcPr>
          <w:p w:rsidR="007864C6" w:rsidRDefault="007864C6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Any other matters/concerns</w:t>
            </w:r>
          </w:p>
          <w:p w:rsidR="007864C6" w:rsidRDefault="003C5DC2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Confirm next tel</w:t>
            </w:r>
            <w:r w:rsidR="007864C6">
              <w:t>econference arrangements (date, time, attendance)</w:t>
            </w:r>
          </w:p>
          <w:p w:rsidR="007864C6" w:rsidRPr="00AF54DD" w:rsidRDefault="006C1C72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E</w:t>
            </w:r>
            <w:r w:rsidR="007864C6">
              <w:t>nd call</w:t>
            </w:r>
          </w:p>
        </w:tc>
      </w:tr>
    </w:tbl>
    <w:p w:rsidR="00EC2026" w:rsidRDefault="00EC2026" w:rsidP="00195902">
      <w:pPr>
        <w:pStyle w:val="Heading4"/>
        <w:numPr>
          <w:ilvl w:val="3"/>
          <w:numId w:val="6"/>
        </w:numPr>
        <w:rPr>
          <w:color w:val="4BACC6" w:themeColor="accent5"/>
        </w:rPr>
      </w:pPr>
    </w:p>
    <w:p w:rsidR="007864C6" w:rsidRDefault="007864C6" w:rsidP="00195902">
      <w:pPr>
        <w:pStyle w:val="Heading4"/>
        <w:numPr>
          <w:ilvl w:val="3"/>
          <w:numId w:val="6"/>
        </w:numPr>
        <w:rPr>
          <w:color w:val="4BACC6" w:themeColor="accent5"/>
        </w:rPr>
      </w:pPr>
      <w:r w:rsidRPr="00471846">
        <w:rPr>
          <w:color w:val="4BACC6" w:themeColor="accent5"/>
        </w:rPr>
        <w:t>TELECONFERENCE</w:t>
      </w:r>
      <w:r>
        <w:rPr>
          <w:color w:val="4BACC6" w:themeColor="accent5"/>
        </w:rPr>
        <w:t xml:space="preserve"> ATTENDANCE</w:t>
      </w:r>
    </w:p>
    <w:p w:rsidR="007864C6" w:rsidRDefault="007864C6" w:rsidP="007864C6">
      <w:r w:rsidRPr="005F33CB">
        <w:t xml:space="preserve">The following checklist </w:t>
      </w:r>
      <w:r w:rsidR="00EC2026">
        <w:t>will</w:t>
      </w:r>
      <w:r w:rsidRPr="005F33CB">
        <w:t xml:space="preserve"> be used by the National </w:t>
      </w:r>
      <w:r>
        <w:t>Welfare Manager</w:t>
      </w:r>
      <w:r w:rsidR="00EC2026">
        <w:t xml:space="preserve"> during the</w:t>
      </w:r>
      <w:r w:rsidRPr="005F33CB">
        <w:t xml:space="preserve"> </w:t>
      </w:r>
      <w:r w:rsidR="00967894">
        <w:t xml:space="preserve">CDEM </w:t>
      </w:r>
      <w:r w:rsidRPr="005F33CB">
        <w:t xml:space="preserve">Group teleconference to ensure that all </w:t>
      </w:r>
      <w:r w:rsidR="00967894">
        <w:t xml:space="preserve">CDEM </w:t>
      </w:r>
      <w:r w:rsidRPr="005F33CB">
        <w:t>Groups have been accounted for in the call.</w:t>
      </w:r>
    </w:p>
    <w:tbl>
      <w:tblPr>
        <w:tblStyle w:val="TableGrid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71"/>
        <w:gridCol w:w="2976"/>
        <w:gridCol w:w="3839"/>
      </w:tblGrid>
      <w:tr w:rsidR="007864C6" w:rsidTr="007864C6">
        <w:tc>
          <w:tcPr>
            <w:tcW w:w="2571" w:type="dxa"/>
            <w:shd w:val="clear" w:color="auto" w:fill="4BACC6" w:themeFill="accent5"/>
          </w:tcPr>
          <w:p w:rsidR="007864C6" w:rsidRDefault="00967894" w:rsidP="00E60EDF">
            <w:pPr>
              <w:pStyle w:val="Tableheading"/>
            </w:pPr>
            <w:r>
              <w:t xml:space="preserve">CDEM </w:t>
            </w:r>
            <w:r w:rsidR="007864C6">
              <w:t>Group</w:t>
            </w:r>
          </w:p>
        </w:tc>
        <w:tc>
          <w:tcPr>
            <w:tcW w:w="2976" w:type="dxa"/>
            <w:shd w:val="clear" w:color="auto" w:fill="4BACC6" w:themeFill="accent5"/>
          </w:tcPr>
          <w:p w:rsidR="007864C6" w:rsidRDefault="00E27C50" w:rsidP="007864C6">
            <w:pPr>
              <w:pStyle w:val="Tableheading"/>
            </w:pPr>
            <w:r>
              <w:t xml:space="preserve">CDEM </w:t>
            </w:r>
            <w:r w:rsidR="007864C6">
              <w:t>Group Welfare Manager</w:t>
            </w:r>
          </w:p>
        </w:tc>
        <w:tc>
          <w:tcPr>
            <w:tcW w:w="3839" w:type="dxa"/>
            <w:shd w:val="clear" w:color="auto" w:fill="4BACC6" w:themeFill="accent5"/>
          </w:tcPr>
          <w:p w:rsidR="007864C6" w:rsidRDefault="007864C6" w:rsidP="00E60EDF">
            <w:pPr>
              <w:pStyle w:val="Tableheading"/>
            </w:pPr>
            <w:r>
              <w:t>Comments</w:t>
            </w: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Northland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Auckland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Waikato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Bay of Plenty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Gisborne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Taranaki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Hawke’s Bay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967894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Manawatu-Wanganui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Wellington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Ma</w:t>
            </w:r>
            <w:r w:rsidR="003C5DC2">
              <w:rPr>
                <w:b/>
                <w:i w:val="0"/>
                <w:color w:val="000000" w:themeColor="text1"/>
              </w:rPr>
              <w:t>r</w:t>
            </w:r>
            <w:r>
              <w:rPr>
                <w:b/>
                <w:i w:val="0"/>
                <w:color w:val="000000" w:themeColor="text1"/>
              </w:rPr>
              <w:t>lborough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Nelson-Tasman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West Coast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Canterbury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 xml:space="preserve">Southland 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Otago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7864C6" w:rsidRPr="00780146" w:rsidTr="007864C6">
        <w:tc>
          <w:tcPr>
            <w:tcW w:w="2571" w:type="dxa"/>
          </w:tcPr>
          <w:p w:rsidR="007864C6" w:rsidRPr="00CB1ACF" w:rsidRDefault="007864C6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Chatham Islands</w:t>
            </w:r>
          </w:p>
        </w:tc>
        <w:tc>
          <w:tcPr>
            <w:tcW w:w="2976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7864C6" w:rsidRPr="00F9548D" w:rsidRDefault="007864C6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</w:tbl>
    <w:p w:rsidR="007864C6" w:rsidRDefault="007864C6" w:rsidP="007864C6"/>
    <w:p w:rsidR="00B74218" w:rsidRDefault="00B74218">
      <w:pPr>
        <w:spacing w:before="0" w:after="0" w:line="240" w:lineRule="auto"/>
      </w:pPr>
      <w:r>
        <w:br w:type="page"/>
      </w:r>
    </w:p>
    <w:p w:rsidR="00B74218" w:rsidRDefault="00B74218" w:rsidP="00B74218">
      <w:pPr>
        <w:pStyle w:val="Heading6"/>
      </w:pPr>
      <w:r>
        <w:t>Appendix 3: NWCG Teleconference (Day 1</w:t>
      </w:r>
      <w:r w:rsidR="00E27C50">
        <w:t xml:space="preserve"> afternoon</w:t>
      </w:r>
      <w:r>
        <w:t>)</w:t>
      </w:r>
    </w:p>
    <w:p w:rsidR="00B74218" w:rsidRPr="007864C6" w:rsidRDefault="00B74218" w:rsidP="00B74218"/>
    <w:p w:rsidR="00B74218" w:rsidRPr="002D6FF0" w:rsidRDefault="00B74218" w:rsidP="00B74218">
      <w:pPr>
        <w:pStyle w:val="Titlesubheadingsnotforcontents"/>
        <w:rPr>
          <w:color w:val="4BACC6" w:themeColor="accent5"/>
        </w:rPr>
      </w:pPr>
      <w:r w:rsidRPr="002D6FF0">
        <w:rPr>
          <w:noProof/>
          <w:color w:val="4BACC6" w:themeColor="accent5"/>
          <w:lang w:eastAsia="en-NZ"/>
        </w:rPr>
        <w:drawing>
          <wp:anchor distT="0" distB="0" distL="114300" distR="114300" simplePos="0" relativeHeight="251661312" behindDoc="1" locked="0" layoutInCell="1" allowOverlap="1" wp14:anchorId="1946D115" wp14:editId="4CCFD1B8">
            <wp:simplePos x="0" y="0"/>
            <wp:positionH relativeFrom="column">
              <wp:posOffset>-70485</wp:posOffset>
            </wp:positionH>
            <wp:positionV relativeFrom="paragraph">
              <wp:posOffset>-43815</wp:posOffset>
            </wp:positionV>
            <wp:extent cx="523875" cy="531495"/>
            <wp:effectExtent l="0" t="0" r="9525" b="1905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FF0">
        <w:rPr>
          <w:color w:val="4BACC6" w:themeColor="accent5"/>
        </w:rPr>
        <w:t>Tsunami Teleconference Schedule</w:t>
      </w:r>
    </w:p>
    <w:p w:rsidR="00B74218" w:rsidRPr="00AF54DD" w:rsidRDefault="00B74218" w:rsidP="00B74218"/>
    <w:tbl>
      <w:tblPr>
        <w:tblStyle w:val="TableGrid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145"/>
        <w:gridCol w:w="7241"/>
      </w:tblGrid>
      <w:tr w:rsidR="00B74218" w:rsidTr="00E60EDF">
        <w:tc>
          <w:tcPr>
            <w:tcW w:w="2145" w:type="dxa"/>
            <w:shd w:val="clear" w:color="auto" w:fill="4BACC6" w:themeFill="accent5"/>
          </w:tcPr>
          <w:p w:rsidR="00B74218" w:rsidRDefault="00B74218" w:rsidP="00E60EDF">
            <w:pPr>
              <w:pStyle w:val="Tableheading"/>
            </w:pPr>
            <w:r>
              <w:t>Topic:</w:t>
            </w:r>
          </w:p>
        </w:tc>
        <w:tc>
          <w:tcPr>
            <w:tcW w:w="7241" w:type="dxa"/>
            <w:shd w:val="clear" w:color="auto" w:fill="4BACC6" w:themeFill="accent5"/>
          </w:tcPr>
          <w:p w:rsidR="00B74218" w:rsidRDefault="00B74218" w:rsidP="00E60EDF">
            <w:pPr>
              <w:pStyle w:val="Tableheading"/>
            </w:pPr>
            <w:r>
              <w:t>Description</w:t>
            </w:r>
          </w:p>
        </w:tc>
      </w:tr>
      <w:tr w:rsidR="00B74218" w:rsidRPr="00780146" w:rsidTr="00E60EDF">
        <w:tc>
          <w:tcPr>
            <w:tcW w:w="2145" w:type="dxa"/>
          </w:tcPr>
          <w:p w:rsidR="00B74218" w:rsidRPr="00CB1ACF" w:rsidRDefault="00B74218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Introduction</w:t>
            </w:r>
          </w:p>
        </w:tc>
        <w:tc>
          <w:tcPr>
            <w:tcW w:w="7241" w:type="dxa"/>
          </w:tcPr>
          <w:p w:rsidR="00B74218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 xml:space="preserve">National Welfare Manager </w:t>
            </w:r>
          </w:p>
          <w:p w:rsidR="00B74218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NWCG representatives attending the teleconference (including those listening in)</w:t>
            </w:r>
          </w:p>
          <w:p w:rsidR="00B74218" w:rsidRPr="00F9548D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Any other parties</w:t>
            </w:r>
          </w:p>
        </w:tc>
      </w:tr>
      <w:tr w:rsidR="00B74218" w:rsidRPr="00780146" w:rsidTr="00E60EDF">
        <w:tc>
          <w:tcPr>
            <w:tcW w:w="2145" w:type="dxa"/>
          </w:tcPr>
          <w:p w:rsidR="00B74218" w:rsidRPr="00471846" w:rsidRDefault="00B74218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National Welfare Manager</w:t>
            </w:r>
          </w:p>
        </w:tc>
        <w:tc>
          <w:tcPr>
            <w:tcW w:w="7241" w:type="dxa"/>
          </w:tcPr>
          <w:p w:rsidR="00B74218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 xml:space="preserve">Brief overview of the situation and </w:t>
            </w:r>
            <w:r w:rsidR="00B53F25">
              <w:t xml:space="preserve">likely </w:t>
            </w:r>
            <w:r>
              <w:t>welfare implications</w:t>
            </w:r>
          </w:p>
          <w:p w:rsidR="00B74218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 xml:space="preserve">NCMC National </w:t>
            </w:r>
            <w:r w:rsidR="000F5E56">
              <w:t>SitRep</w:t>
            </w:r>
            <w:r>
              <w:t xml:space="preserve"> issue time</w:t>
            </w:r>
          </w:p>
          <w:p w:rsidR="00B74218" w:rsidRPr="00F9548D" w:rsidRDefault="00B74218" w:rsidP="00B74218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Update from GWM and</w:t>
            </w:r>
            <w:r w:rsidR="00E27C50">
              <w:t xml:space="preserve"> welfare services</w:t>
            </w:r>
            <w:r>
              <w:t xml:space="preserve"> sub-functions (if appropriate)</w:t>
            </w:r>
          </w:p>
        </w:tc>
      </w:tr>
      <w:tr w:rsidR="00B74218" w:rsidRPr="00780146" w:rsidTr="00E60EDF">
        <w:tc>
          <w:tcPr>
            <w:tcW w:w="2145" w:type="dxa"/>
          </w:tcPr>
          <w:p w:rsidR="00B74218" w:rsidRDefault="00B74218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NWCG</w:t>
            </w:r>
          </w:p>
          <w:p w:rsidR="00195902" w:rsidRP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95902">
              <w:rPr>
                <w:i/>
                <w:color w:val="000000" w:themeColor="text1"/>
                <w:sz w:val="20"/>
                <w:szCs w:val="20"/>
              </w:rPr>
              <w:t>Registration</w:t>
            </w:r>
          </w:p>
          <w:p w:rsidR="00195902" w:rsidRP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Needs a</w:t>
            </w:r>
            <w:r w:rsidRPr="00195902">
              <w:rPr>
                <w:i/>
                <w:color w:val="000000" w:themeColor="text1"/>
                <w:sz w:val="20"/>
                <w:szCs w:val="20"/>
              </w:rPr>
              <w:t>ssessment</w:t>
            </w:r>
          </w:p>
          <w:p w:rsidR="00195902" w:rsidRP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95902">
              <w:rPr>
                <w:i/>
                <w:color w:val="000000" w:themeColor="text1"/>
                <w:sz w:val="20"/>
                <w:szCs w:val="20"/>
              </w:rPr>
              <w:t>Inquiry</w:t>
            </w:r>
          </w:p>
          <w:p w:rsidR="00195902" w:rsidRP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95902">
              <w:rPr>
                <w:i/>
                <w:color w:val="000000" w:themeColor="text1"/>
                <w:sz w:val="20"/>
                <w:szCs w:val="20"/>
              </w:rPr>
              <w:t xml:space="preserve">Care &amp; </w:t>
            </w:r>
            <w:r>
              <w:rPr>
                <w:i/>
                <w:color w:val="000000" w:themeColor="text1"/>
                <w:sz w:val="20"/>
                <w:szCs w:val="20"/>
              </w:rPr>
              <w:t>p</w:t>
            </w:r>
            <w:r w:rsidRPr="00195902">
              <w:rPr>
                <w:i/>
                <w:color w:val="000000" w:themeColor="text1"/>
                <w:sz w:val="20"/>
                <w:szCs w:val="20"/>
              </w:rPr>
              <w:t xml:space="preserve">rotection </w:t>
            </w:r>
            <w:r>
              <w:rPr>
                <w:i/>
                <w:color w:val="000000" w:themeColor="text1"/>
                <w:sz w:val="20"/>
                <w:szCs w:val="20"/>
              </w:rPr>
              <w:t>s</w:t>
            </w:r>
            <w:r w:rsidRPr="00195902">
              <w:rPr>
                <w:i/>
                <w:color w:val="000000" w:themeColor="text1"/>
                <w:sz w:val="20"/>
                <w:szCs w:val="20"/>
              </w:rPr>
              <w:t>ervices for children &amp; young people</w:t>
            </w:r>
          </w:p>
          <w:p w:rsidR="00195902" w:rsidRP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Psychosocial s</w:t>
            </w:r>
            <w:r w:rsidRPr="00195902">
              <w:rPr>
                <w:i/>
                <w:color w:val="000000" w:themeColor="text1"/>
                <w:sz w:val="20"/>
                <w:szCs w:val="20"/>
              </w:rPr>
              <w:t>upport</w:t>
            </w:r>
          </w:p>
          <w:p w:rsidR="00195902" w:rsidRP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195902">
              <w:rPr>
                <w:i/>
                <w:color w:val="000000" w:themeColor="text1"/>
                <w:sz w:val="20"/>
                <w:szCs w:val="20"/>
              </w:rPr>
              <w:t xml:space="preserve">Household </w:t>
            </w:r>
            <w:r>
              <w:rPr>
                <w:i/>
                <w:color w:val="000000" w:themeColor="text1"/>
                <w:sz w:val="20"/>
                <w:szCs w:val="20"/>
              </w:rPr>
              <w:t>g</w:t>
            </w:r>
            <w:r w:rsidRPr="00195902">
              <w:rPr>
                <w:i/>
                <w:color w:val="000000" w:themeColor="text1"/>
                <w:sz w:val="20"/>
                <w:szCs w:val="20"/>
              </w:rPr>
              <w:t xml:space="preserve">oods &amp; </w:t>
            </w:r>
            <w:r>
              <w:rPr>
                <w:i/>
                <w:color w:val="000000" w:themeColor="text1"/>
                <w:sz w:val="20"/>
                <w:szCs w:val="20"/>
              </w:rPr>
              <w:t>s</w:t>
            </w:r>
            <w:r w:rsidRPr="00195902">
              <w:rPr>
                <w:i/>
                <w:color w:val="000000" w:themeColor="text1"/>
                <w:sz w:val="20"/>
                <w:szCs w:val="20"/>
              </w:rPr>
              <w:t>ervices</w:t>
            </w:r>
          </w:p>
          <w:p w:rsidR="00195902" w:rsidRP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Shelter &amp; a</w:t>
            </w:r>
            <w:r w:rsidRPr="00195902">
              <w:rPr>
                <w:i/>
                <w:color w:val="000000" w:themeColor="text1"/>
                <w:sz w:val="20"/>
                <w:szCs w:val="20"/>
              </w:rPr>
              <w:t>ccommodation</w:t>
            </w:r>
          </w:p>
          <w:p w:rsidR="00195902" w:rsidRP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Financial a</w:t>
            </w:r>
            <w:r w:rsidRPr="00195902">
              <w:rPr>
                <w:i/>
                <w:color w:val="000000" w:themeColor="text1"/>
                <w:sz w:val="20"/>
                <w:szCs w:val="20"/>
              </w:rPr>
              <w:t>ssistance</w:t>
            </w:r>
          </w:p>
          <w:p w:rsidR="00195902" w:rsidRDefault="00195902" w:rsidP="00195902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  <w:rPr>
                <w:b/>
                <w:i/>
                <w:color w:val="000000" w:themeColor="text1"/>
              </w:rPr>
            </w:pPr>
            <w:r w:rsidRPr="00195902">
              <w:rPr>
                <w:i/>
                <w:color w:val="000000" w:themeColor="text1"/>
                <w:sz w:val="20"/>
                <w:szCs w:val="20"/>
              </w:rPr>
              <w:t>Animal welfare</w:t>
            </w:r>
          </w:p>
        </w:tc>
        <w:tc>
          <w:tcPr>
            <w:tcW w:w="7241" w:type="dxa"/>
          </w:tcPr>
          <w:p w:rsidR="00B74218" w:rsidRPr="00AF54DD" w:rsidRDefault="00B74218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 w:hanging="357"/>
              <w:rPr>
                <w:i/>
              </w:rPr>
            </w:pPr>
            <w:r w:rsidRPr="00AF54DD">
              <w:rPr>
                <w:b/>
                <w:i/>
              </w:rPr>
              <w:t>Note:</w:t>
            </w:r>
            <w:r>
              <w:rPr>
                <w:i/>
              </w:rPr>
              <w:t xml:space="preserve"> The NWCG speaking order will follow </w:t>
            </w:r>
            <w:r w:rsidR="00E27C50">
              <w:rPr>
                <w:i/>
              </w:rPr>
              <w:t>the template below.</w:t>
            </w:r>
          </w:p>
          <w:p w:rsidR="00B74218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rPr>
                <w:b/>
                <w:u w:val="single"/>
              </w:rPr>
              <w:t>Brief</w:t>
            </w:r>
            <w:r>
              <w:t xml:space="preserve"> overview o</w:t>
            </w:r>
            <w:r w:rsidR="00195902">
              <w:t>n the welfare services sub-function,</w:t>
            </w:r>
            <w:r>
              <w:t xml:space="preserve"> including</w:t>
            </w:r>
            <w:r w:rsidR="00195902">
              <w:t xml:space="preserve"> </w:t>
            </w:r>
            <w:r>
              <w:rPr>
                <w:b/>
              </w:rPr>
              <w:t>potential</w:t>
            </w:r>
            <w:r>
              <w:t xml:space="preserve"> pinch points, and </w:t>
            </w:r>
            <w:r>
              <w:rPr>
                <w:b/>
              </w:rPr>
              <w:t xml:space="preserve">proposed </w:t>
            </w:r>
            <w:r w:rsidRPr="006C1C72">
              <w:t>prioritisation</w:t>
            </w:r>
            <w:r>
              <w:t xml:space="preserve"> of welfare services</w:t>
            </w:r>
          </w:p>
          <w:p w:rsidR="00B74218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 w:rsidRPr="006C1C72">
              <w:rPr>
                <w:b/>
              </w:rPr>
              <w:t>Anticipated</w:t>
            </w:r>
            <w:r>
              <w:t xml:space="preserve"> communication or information issues</w:t>
            </w:r>
          </w:p>
          <w:p w:rsidR="00B74218" w:rsidRPr="003C5DC2" w:rsidRDefault="00B74218" w:rsidP="00B53F25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 w:rsidRPr="006C1C72">
              <w:rPr>
                <w:b/>
              </w:rPr>
              <w:t>Anticipated</w:t>
            </w:r>
            <w:r>
              <w:t xml:space="preserve"> resource shortfalls for welfare service provision</w:t>
            </w:r>
          </w:p>
        </w:tc>
      </w:tr>
      <w:tr w:rsidR="00B74218" w:rsidRPr="00780146" w:rsidTr="00E60EDF">
        <w:tc>
          <w:tcPr>
            <w:tcW w:w="2145" w:type="dxa"/>
          </w:tcPr>
          <w:p w:rsidR="00B74218" w:rsidRDefault="00B74218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Summary</w:t>
            </w:r>
          </w:p>
        </w:tc>
        <w:tc>
          <w:tcPr>
            <w:tcW w:w="7241" w:type="dxa"/>
          </w:tcPr>
          <w:p w:rsidR="00B74218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Any other matters/concerns</w:t>
            </w:r>
          </w:p>
          <w:p w:rsidR="00B74218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Confirm next teleconference arrangements (date, time, attendance)</w:t>
            </w:r>
            <w:r w:rsidR="00195902">
              <w:t>, if applicable</w:t>
            </w:r>
          </w:p>
          <w:p w:rsidR="00B74218" w:rsidRPr="00AF54DD" w:rsidRDefault="00B74218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End call</w:t>
            </w:r>
          </w:p>
        </w:tc>
      </w:tr>
    </w:tbl>
    <w:p w:rsidR="00B53F25" w:rsidRDefault="00B53F25" w:rsidP="00B53F25">
      <w:pPr>
        <w:pStyle w:val="Heading4"/>
        <w:rPr>
          <w:sz w:val="24"/>
          <w:highlight w:val="lightGray"/>
        </w:rPr>
      </w:pPr>
    </w:p>
    <w:p w:rsidR="00B53F25" w:rsidRDefault="00B53F25" w:rsidP="00B53F25">
      <w:pPr>
        <w:rPr>
          <w:rFonts w:ascii="Arial Narrow" w:eastAsiaTheme="majorEastAsia" w:hAnsi="Arial Narrow" w:cstheme="majorBidi"/>
          <w:color w:val="005A9B" w:themeColor="background2"/>
          <w:szCs w:val="20"/>
          <w:highlight w:val="lightGray"/>
        </w:rPr>
      </w:pPr>
      <w:r>
        <w:rPr>
          <w:highlight w:val="lightGray"/>
        </w:rPr>
        <w:br w:type="page"/>
      </w:r>
    </w:p>
    <w:p w:rsidR="00B74218" w:rsidRPr="00B53F25" w:rsidRDefault="00B74218" w:rsidP="00B53F25">
      <w:pPr>
        <w:pStyle w:val="Heading4"/>
        <w:rPr>
          <w:color w:val="4BACC6" w:themeColor="accent5"/>
        </w:rPr>
      </w:pPr>
      <w:r w:rsidRPr="00B53F25">
        <w:rPr>
          <w:color w:val="4BACC6" w:themeColor="accent5"/>
        </w:rPr>
        <w:t>TELECONFERENCE ATTENDANCE</w:t>
      </w:r>
    </w:p>
    <w:p w:rsidR="00B74218" w:rsidRDefault="00B74218" w:rsidP="00B74218">
      <w:r w:rsidRPr="005F33CB">
        <w:t xml:space="preserve">The following checklist </w:t>
      </w:r>
      <w:r>
        <w:t>will</w:t>
      </w:r>
      <w:r w:rsidRPr="005F33CB">
        <w:t xml:space="preserve"> be used by the National </w:t>
      </w:r>
      <w:r>
        <w:t>Welfare Manager during the</w:t>
      </w:r>
      <w:r w:rsidRPr="005F33CB">
        <w:t xml:space="preserve"> </w:t>
      </w:r>
      <w:r w:rsidR="00195902">
        <w:t>NWCG</w:t>
      </w:r>
      <w:r w:rsidRPr="005F33CB">
        <w:t xml:space="preserve"> teleconference to ensure that all </w:t>
      </w:r>
      <w:r w:rsidR="00851959">
        <w:t xml:space="preserve">welfare services </w:t>
      </w:r>
      <w:r w:rsidR="00195902">
        <w:t>sub-functions</w:t>
      </w:r>
      <w:r w:rsidRPr="005F33CB">
        <w:t xml:space="preserve"> have been </w:t>
      </w:r>
      <w:r w:rsidR="00195902">
        <w:t>captured</w:t>
      </w:r>
      <w:r w:rsidRPr="005F33CB">
        <w:t>.</w:t>
      </w:r>
    </w:p>
    <w:tbl>
      <w:tblPr>
        <w:tblStyle w:val="TableGrid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416"/>
        <w:gridCol w:w="2281"/>
        <w:gridCol w:w="4678"/>
      </w:tblGrid>
      <w:tr w:rsidR="00851959" w:rsidTr="00AF187E">
        <w:tc>
          <w:tcPr>
            <w:tcW w:w="2416" w:type="dxa"/>
            <w:shd w:val="clear" w:color="auto" w:fill="4BACC6" w:themeFill="accent5"/>
          </w:tcPr>
          <w:p w:rsidR="00851959" w:rsidRDefault="00851959" w:rsidP="00851959">
            <w:pPr>
              <w:pStyle w:val="Tableheading"/>
            </w:pPr>
            <w:r>
              <w:t>Responsible agency</w:t>
            </w:r>
          </w:p>
        </w:tc>
        <w:tc>
          <w:tcPr>
            <w:tcW w:w="2281" w:type="dxa"/>
            <w:shd w:val="clear" w:color="auto" w:fill="4BACC6" w:themeFill="accent5"/>
          </w:tcPr>
          <w:p w:rsidR="00851959" w:rsidRDefault="00851959" w:rsidP="00851959">
            <w:pPr>
              <w:pStyle w:val="Tableheading"/>
            </w:pPr>
            <w:r>
              <w:t>Welfare services</w:t>
            </w:r>
          </w:p>
          <w:p w:rsidR="00851959" w:rsidRDefault="00851959">
            <w:pPr>
              <w:pStyle w:val="Tableheading"/>
            </w:pPr>
            <w:r>
              <w:t>sub-function</w:t>
            </w:r>
          </w:p>
        </w:tc>
        <w:tc>
          <w:tcPr>
            <w:tcW w:w="4678" w:type="dxa"/>
            <w:shd w:val="clear" w:color="auto" w:fill="4BACC6" w:themeFill="accent5"/>
          </w:tcPr>
          <w:p w:rsidR="00851959" w:rsidRDefault="00851959" w:rsidP="00851959">
            <w:pPr>
              <w:pStyle w:val="Tableheading"/>
            </w:pPr>
            <w:r>
              <w:t>Comments</w:t>
            </w: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MCDEM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>Registration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MCDEM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>Needs Assessment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NZ Police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>Inquiry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Child, Youth and Family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 xml:space="preserve">Care &amp; protection services for children </w:t>
            </w:r>
            <w:r w:rsidRPr="00AF187E" w:rsidDel="0081213D">
              <w:rPr>
                <w:b/>
                <w:color w:val="000000" w:themeColor="text1"/>
              </w:rPr>
              <w:t xml:space="preserve">&amp; </w:t>
            </w:r>
            <w:r w:rsidRPr="00AF187E">
              <w:rPr>
                <w:b/>
                <w:color w:val="000000" w:themeColor="text1"/>
              </w:rPr>
              <w:t>and young people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Ministry of Health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>Psychosocial support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MCDEM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>Household goods &amp; services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MCDEM / Ministry of Business, Employment and Innovation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>Shelter &amp; accommodation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Ministry of Social Development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>Financial assistance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851959" w:rsidRPr="00780146" w:rsidTr="00AF187E">
        <w:tc>
          <w:tcPr>
            <w:tcW w:w="2416" w:type="dxa"/>
          </w:tcPr>
          <w:p w:rsidR="00851959" w:rsidRPr="00F9548D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</w:pPr>
            <w:r>
              <w:t>Ministry for Primary Industries</w:t>
            </w:r>
          </w:p>
        </w:tc>
        <w:tc>
          <w:tcPr>
            <w:tcW w:w="2281" w:type="dxa"/>
          </w:tcPr>
          <w:p w:rsidR="00851959" w:rsidRPr="00AF187E" w:rsidRDefault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rPr>
                <w:b/>
              </w:rPr>
            </w:pPr>
            <w:r w:rsidRPr="00AF187E">
              <w:rPr>
                <w:b/>
                <w:color w:val="000000" w:themeColor="text1"/>
              </w:rPr>
              <w:t>Animal welfare</w:t>
            </w:r>
          </w:p>
        </w:tc>
        <w:tc>
          <w:tcPr>
            <w:tcW w:w="4678" w:type="dxa"/>
          </w:tcPr>
          <w:p w:rsidR="00851959" w:rsidRPr="00F9548D" w:rsidRDefault="00851959" w:rsidP="00851959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</w:tbl>
    <w:p w:rsidR="00B74218" w:rsidRDefault="00B74218" w:rsidP="00B74218"/>
    <w:p w:rsidR="00B74218" w:rsidRPr="00C02A14" w:rsidRDefault="00B74218" w:rsidP="00B74218">
      <w:pPr>
        <w:spacing w:before="0" w:after="0" w:line="240" w:lineRule="auto"/>
      </w:pPr>
    </w:p>
    <w:p w:rsidR="00E60EDF" w:rsidRDefault="00E60EDF">
      <w:pPr>
        <w:spacing w:before="0" w:after="0" w:line="240" w:lineRule="auto"/>
      </w:pPr>
      <w:r>
        <w:br w:type="page"/>
      </w:r>
    </w:p>
    <w:p w:rsidR="00E60EDF" w:rsidRDefault="004A390D" w:rsidP="00E60EDF">
      <w:pPr>
        <w:pStyle w:val="Heading6"/>
      </w:pPr>
      <w:r>
        <w:t>Appendix 4: Sub-f</w:t>
      </w:r>
      <w:r w:rsidR="00E60EDF">
        <w:t xml:space="preserve">unction Chairs Teleconference </w:t>
      </w:r>
      <w:r w:rsidR="00B53F25">
        <w:t>–</w:t>
      </w:r>
      <w:r w:rsidR="00E60EDF">
        <w:t xml:space="preserve"> o</w:t>
      </w:r>
      <w:r w:rsidR="00E60EDF" w:rsidRPr="006E34B1">
        <w:rPr>
          <w:rFonts w:eastAsiaTheme="minorHAnsi"/>
        </w:rPr>
        <w:t>ptional testing (self-led exercises)</w:t>
      </w:r>
      <w:r w:rsidR="00E60EDF">
        <w:rPr>
          <w:rFonts w:eastAsiaTheme="minorHAnsi"/>
        </w:rPr>
        <w:t xml:space="preserve"> </w:t>
      </w:r>
      <w:r w:rsidR="00B53F25">
        <w:rPr>
          <w:rFonts w:eastAsiaTheme="minorHAnsi"/>
        </w:rPr>
        <w:t>–</w:t>
      </w:r>
      <w:r w:rsidR="00E60EDF">
        <w:rPr>
          <w:rFonts w:eastAsiaTheme="minorHAnsi"/>
        </w:rPr>
        <w:t xml:space="preserve"> </w:t>
      </w:r>
      <w:r w:rsidR="00E60EDF" w:rsidRPr="006E34B1">
        <w:rPr>
          <w:rFonts w:eastAsiaTheme="minorHAnsi"/>
        </w:rPr>
        <w:t>1-13 September</w:t>
      </w:r>
      <w:r w:rsidR="00E60EDF">
        <w:rPr>
          <w:rFonts w:eastAsiaTheme="minorHAnsi"/>
        </w:rPr>
        <w:t xml:space="preserve"> 2016</w:t>
      </w:r>
    </w:p>
    <w:p w:rsidR="00E60EDF" w:rsidRPr="007864C6" w:rsidRDefault="00E60EDF" w:rsidP="00E60EDF"/>
    <w:p w:rsidR="00E60EDF" w:rsidRPr="002D6FF0" w:rsidRDefault="00E60EDF" w:rsidP="00E60EDF">
      <w:pPr>
        <w:pStyle w:val="Titlesubheadingsnotforcontents"/>
        <w:rPr>
          <w:color w:val="4BACC6" w:themeColor="accent5"/>
        </w:rPr>
      </w:pPr>
      <w:r w:rsidRPr="002D6FF0">
        <w:rPr>
          <w:noProof/>
          <w:color w:val="4BACC6" w:themeColor="accent5"/>
          <w:lang w:eastAsia="en-NZ"/>
        </w:rPr>
        <w:drawing>
          <wp:anchor distT="0" distB="0" distL="114300" distR="114300" simplePos="0" relativeHeight="251663360" behindDoc="1" locked="0" layoutInCell="1" allowOverlap="1" wp14:anchorId="5BAD576F" wp14:editId="24002421">
            <wp:simplePos x="0" y="0"/>
            <wp:positionH relativeFrom="column">
              <wp:posOffset>-70485</wp:posOffset>
            </wp:positionH>
            <wp:positionV relativeFrom="paragraph">
              <wp:posOffset>-43815</wp:posOffset>
            </wp:positionV>
            <wp:extent cx="523875" cy="531495"/>
            <wp:effectExtent l="0" t="0" r="9525" b="1905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FF0">
        <w:rPr>
          <w:color w:val="4BACC6" w:themeColor="accent5"/>
        </w:rPr>
        <w:t>Tsunami Teleconference Schedule</w:t>
      </w:r>
    </w:p>
    <w:p w:rsidR="00E60EDF" w:rsidRPr="00AF54DD" w:rsidRDefault="00E60EDF" w:rsidP="00E60EDF"/>
    <w:tbl>
      <w:tblPr>
        <w:tblStyle w:val="TableGrid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145"/>
        <w:gridCol w:w="7241"/>
      </w:tblGrid>
      <w:tr w:rsidR="00E60EDF" w:rsidTr="00E60EDF">
        <w:tc>
          <w:tcPr>
            <w:tcW w:w="2145" w:type="dxa"/>
            <w:shd w:val="clear" w:color="auto" w:fill="4BACC6" w:themeFill="accent5"/>
          </w:tcPr>
          <w:p w:rsidR="00E60EDF" w:rsidRDefault="00E60EDF" w:rsidP="00E60EDF">
            <w:pPr>
              <w:pStyle w:val="Tableheading"/>
            </w:pPr>
            <w:r>
              <w:t>Topic:</w:t>
            </w:r>
          </w:p>
        </w:tc>
        <w:tc>
          <w:tcPr>
            <w:tcW w:w="7241" w:type="dxa"/>
            <w:shd w:val="clear" w:color="auto" w:fill="4BACC6" w:themeFill="accent5"/>
          </w:tcPr>
          <w:p w:rsidR="00E60EDF" w:rsidRDefault="00E60EDF" w:rsidP="00E60EDF">
            <w:pPr>
              <w:pStyle w:val="Tableheading"/>
            </w:pPr>
            <w:r>
              <w:t>Description</w:t>
            </w:r>
          </w:p>
        </w:tc>
      </w:tr>
      <w:tr w:rsidR="00E60EDF" w:rsidRPr="00780146" w:rsidTr="00E60EDF">
        <w:tc>
          <w:tcPr>
            <w:tcW w:w="2145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Introduction</w:t>
            </w:r>
          </w:p>
        </w:tc>
        <w:tc>
          <w:tcPr>
            <w:tcW w:w="7241" w:type="dxa"/>
          </w:tcPr>
          <w:p w:rsidR="00E60EDF" w:rsidRDefault="00E60EDF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 xml:space="preserve">Sub-function Chair </w:t>
            </w:r>
          </w:p>
          <w:p w:rsidR="00E60EDF" w:rsidRDefault="00E60EDF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Sub-function regional representatives attending the teleconference (including those listening in)</w:t>
            </w:r>
          </w:p>
          <w:p w:rsidR="00E60EDF" w:rsidRPr="00F9548D" w:rsidRDefault="00E60EDF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Any other parties</w:t>
            </w:r>
          </w:p>
        </w:tc>
      </w:tr>
      <w:tr w:rsidR="00E60EDF" w:rsidRPr="00780146" w:rsidTr="00E60EDF">
        <w:tc>
          <w:tcPr>
            <w:tcW w:w="2145" w:type="dxa"/>
          </w:tcPr>
          <w:p w:rsidR="00E60EDF" w:rsidRPr="00471846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Sub-Function Chair</w:t>
            </w:r>
          </w:p>
        </w:tc>
        <w:tc>
          <w:tcPr>
            <w:tcW w:w="7241" w:type="dxa"/>
          </w:tcPr>
          <w:p w:rsidR="009F67AA" w:rsidRPr="00F9548D" w:rsidRDefault="00E60EDF" w:rsidP="009F67AA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Brief general overview of the situation and</w:t>
            </w:r>
            <w:r w:rsidR="004A390D">
              <w:t xml:space="preserve"> national-level</w:t>
            </w:r>
            <w:r>
              <w:t xml:space="preserve"> sub-function implications</w:t>
            </w:r>
          </w:p>
        </w:tc>
      </w:tr>
      <w:tr w:rsidR="00E60EDF" w:rsidRPr="00780146" w:rsidTr="00E60EDF">
        <w:tc>
          <w:tcPr>
            <w:tcW w:w="2145" w:type="dxa"/>
          </w:tcPr>
          <w:p w:rsidR="00E60EDF" w:rsidRDefault="009F67AA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Sub-Function Reps</w:t>
            </w:r>
          </w:p>
        </w:tc>
        <w:tc>
          <w:tcPr>
            <w:tcW w:w="7241" w:type="dxa"/>
          </w:tcPr>
          <w:p w:rsidR="00E60EDF" w:rsidRPr="00AF54D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 w:hanging="357"/>
              <w:rPr>
                <w:i/>
              </w:rPr>
            </w:pPr>
            <w:r w:rsidRPr="00AF54DD">
              <w:rPr>
                <w:b/>
                <w:i/>
              </w:rPr>
              <w:t>Note:</w:t>
            </w:r>
            <w:r>
              <w:rPr>
                <w:i/>
              </w:rPr>
              <w:t xml:space="preserve"> The speaking order will follow North to South</w:t>
            </w:r>
          </w:p>
          <w:p w:rsidR="00E60EDF" w:rsidRDefault="00E60EDF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rPr>
                <w:b/>
                <w:u w:val="single"/>
              </w:rPr>
              <w:t>Brief</w:t>
            </w:r>
            <w:r>
              <w:t xml:space="preserve"> overview of the response in region, including </w:t>
            </w:r>
            <w:r>
              <w:rPr>
                <w:b/>
              </w:rPr>
              <w:t>potential</w:t>
            </w:r>
            <w:r w:rsidR="004A390D">
              <w:t xml:space="preserve"> pinch points, </w:t>
            </w:r>
            <w:r w:rsidR="004A390D" w:rsidRPr="004A390D">
              <w:rPr>
                <w:b/>
              </w:rPr>
              <w:t>likely</w:t>
            </w:r>
            <w:r w:rsidR="004A390D">
              <w:t xml:space="preserve"> scale of the sub-function response, </w:t>
            </w:r>
            <w:r w:rsidRPr="004A390D">
              <w:t>and</w:t>
            </w:r>
            <w:r>
              <w:t xml:space="preserve"> </w:t>
            </w:r>
            <w:r>
              <w:rPr>
                <w:b/>
              </w:rPr>
              <w:t xml:space="preserve">proposed </w:t>
            </w:r>
            <w:r w:rsidRPr="006C1C72">
              <w:t>prioritisation</w:t>
            </w:r>
            <w:r>
              <w:t xml:space="preserve"> of welfare services</w:t>
            </w:r>
          </w:p>
          <w:p w:rsidR="00E60EDF" w:rsidRDefault="00E60EDF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 w:rsidRPr="006C1C72">
              <w:rPr>
                <w:b/>
              </w:rPr>
              <w:t>Anticipated</w:t>
            </w:r>
            <w:r>
              <w:t xml:space="preserve"> communication or information issues</w:t>
            </w:r>
          </w:p>
          <w:p w:rsidR="00E60EDF" w:rsidRPr="003C5DC2" w:rsidRDefault="00E60EDF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 w:rsidRPr="006C1C72">
              <w:rPr>
                <w:b/>
              </w:rPr>
              <w:t>Anticipated</w:t>
            </w:r>
            <w:r>
              <w:t xml:space="preserve"> resource shortfalls sought for welfare service provision</w:t>
            </w:r>
          </w:p>
        </w:tc>
      </w:tr>
      <w:tr w:rsidR="00E60EDF" w:rsidRPr="00780146" w:rsidTr="00E60EDF">
        <w:tc>
          <w:tcPr>
            <w:tcW w:w="2145" w:type="dxa"/>
          </w:tcPr>
          <w:p w:rsidR="00E60ED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Summary</w:t>
            </w:r>
          </w:p>
        </w:tc>
        <w:tc>
          <w:tcPr>
            <w:tcW w:w="7241" w:type="dxa"/>
          </w:tcPr>
          <w:p w:rsidR="00E60EDF" w:rsidRDefault="00E60EDF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Any other matters/concerns</w:t>
            </w:r>
          </w:p>
          <w:p w:rsidR="00E60EDF" w:rsidRPr="00AF54DD" w:rsidRDefault="00E60EDF" w:rsidP="00E60EDF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End call</w:t>
            </w:r>
          </w:p>
        </w:tc>
      </w:tr>
    </w:tbl>
    <w:p w:rsidR="00E60EDF" w:rsidRDefault="00E60EDF" w:rsidP="00E60EDF">
      <w:pPr>
        <w:pStyle w:val="Heading4"/>
        <w:numPr>
          <w:ilvl w:val="3"/>
          <w:numId w:val="6"/>
        </w:numPr>
        <w:rPr>
          <w:color w:val="4BACC6" w:themeColor="accent5"/>
        </w:rPr>
      </w:pPr>
    </w:p>
    <w:p w:rsidR="00F84F1E" w:rsidRDefault="00F84F1E">
      <w:pPr>
        <w:spacing w:before="0" w:after="0" w:line="240" w:lineRule="auto"/>
        <w:rPr>
          <w:rFonts w:ascii="Arial Narrow" w:eastAsiaTheme="majorEastAsia" w:hAnsi="Arial Narrow" w:cstheme="majorBidi"/>
          <w:b/>
          <w:bCs/>
          <w:i/>
          <w:iCs/>
          <w:color w:val="4BACC6" w:themeColor="accent5"/>
          <w:sz w:val="28"/>
          <w:szCs w:val="20"/>
        </w:rPr>
      </w:pPr>
      <w:r>
        <w:rPr>
          <w:color w:val="4BACC6" w:themeColor="accent5"/>
        </w:rPr>
        <w:br w:type="page"/>
      </w:r>
    </w:p>
    <w:p w:rsidR="00E60EDF" w:rsidRDefault="00E60EDF" w:rsidP="00E60EDF">
      <w:pPr>
        <w:pStyle w:val="Heading4"/>
        <w:numPr>
          <w:ilvl w:val="3"/>
          <w:numId w:val="6"/>
        </w:numPr>
        <w:rPr>
          <w:color w:val="4BACC6" w:themeColor="accent5"/>
        </w:rPr>
      </w:pPr>
      <w:r w:rsidRPr="00471846">
        <w:rPr>
          <w:color w:val="4BACC6" w:themeColor="accent5"/>
        </w:rPr>
        <w:t>TELECONFERENCE</w:t>
      </w:r>
      <w:r>
        <w:rPr>
          <w:color w:val="4BACC6" w:themeColor="accent5"/>
        </w:rPr>
        <w:t xml:space="preserve"> ATTENDANCE</w:t>
      </w:r>
    </w:p>
    <w:p w:rsidR="00E60EDF" w:rsidRDefault="00E60EDF" w:rsidP="00E60EDF">
      <w:r w:rsidRPr="005F33CB">
        <w:t xml:space="preserve">The following checklist </w:t>
      </w:r>
      <w:r w:rsidR="009F67AA">
        <w:t>may</w:t>
      </w:r>
      <w:r w:rsidRPr="005F33CB">
        <w:t xml:space="preserve"> be used by the </w:t>
      </w:r>
      <w:r w:rsidR="004A390D">
        <w:t>s</w:t>
      </w:r>
      <w:r w:rsidR="009F67AA">
        <w:t>ub-function Chair</w:t>
      </w:r>
      <w:r>
        <w:t xml:space="preserve"> during the</w:t>
      </w:r>
      <w:r w:rsidRPr="005F33CB">
        <w:t xml:space="preserve"> </w:t>
      </w:r>
      <w:r w:rsidR="009F67AA">
        <w:t xml:space="preserve">regional </w:t>
      </w:r>
      <w:r w:rsidRPr="005F33CB">
        <w:t>teleconference to ensure that all</w:t>
      </w:r>
      <w:r w:rsidR="00967894">
        <w:t xml:space="preserve"> </w:t>
      </w:r>
      <w:r w:rsidR="002A1C4E">
        <w:t>regions</w:t>
      </w:r>
      <w:r w:rsidRPr="005F33CB">
        <w:t xml:space="preserve"> have been accounted for in the call.</w:t>
      </w:r>
    </w:p>
    <w:tbl>
      <w:tblPr>
        <w:tblStyle w:val="TableGrid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71"/>
        <w:gridCol w:w="2976"/>
        <w:gridCol w:w="3839"/>
      </w:tblGrid>
      <w:tr w:rsidR="00E60EDF" w:rsidTr="00E60EDF">
        <w:tc>
          <w:tcPr>
            <w:tcW w:w="2571" w:type="dxa"/>
            <w:shd w:val="clear" w:color="auto" w:fill="4BACC6" w:themeFill="accent5"/>
          </w:tcPr>
          <w:p w:rsidR="00E60EDF" w:rsidRDefault="002A1C4E" w:rsidP="00E60EDF">
            <w:pPr>
              <w:pStyle w:val="Tableheading"/>
            </w:pPr>
            <w:r>
              <w:t>Region</w:t>
            </w:r>
          </w:p>
        </w:tc>
        <w:tc>
          <w:tcPr>
            <w:tcW w:w="2976" w:type="dxa"/>
            <w:shd w:val="clear" w:color="auto" w:fill="4BACC6" w:themeFill="accent5"/>
          </w:tcPr>
          <w:p w:rsidR="00E60EDF" w:rsidRDefault="0033361F" w:rsidP="00E60EDF">
            <w:pPr>
              <w:pStyle w:val="Tableheading"/>
            </w:pPr>
            <w:r>
              <w:t>Agency</w:t>
            </w:r>
          </w:p>
        </w:tc>
        <w:tc>
          <w:tcPr>
            <w:tcW w:w="3839" w:type="dxa"/>
            <w:shd w:val="clear" w:color="auto" w:fill="4BACC6" w:themeFill="accent5"/>
          </w:tcPr>
          <w:p w:rsidR="00E60EDF" w:rsidRDefault="00E60EDF" w:rsidP="00E60EDF">
            <w:pPr>
              <w:pStyle w:val="Tableheading"/>
            </w:pPr>
            <w:r>
              <w:t>Comments</w:t>
            </w: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Northland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Auckland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Waikato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Bay of Plenty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Gisborne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Taranaki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Hawke’s Bay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Manawatu-Wanganui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Wellington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Marlborough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Nelson-Tasman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West Coast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Canterbury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 xml:space="preserve">Southland 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Otago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E60EDF" w:rsidRPr="00780146" w:rsidTr="00E60EDF">
        <w:tc>
          <w:tcPr>
            <w:tcW w:w="2571" w:type="dxa"/>
          </w:tcPr>
          <w:p w:rsidR="00E60EDF" w:rsidRPr="00CB1ACF" w:rsidRDefault="00E60EDF" w:rsidP="00E60EDF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Chatham Islands</w:t>
            </w:r>
          </w:p>
        </w:tc>
        <w:tc>
          <w:tcPr>
            <w:tcW w:w="2976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E60EDF" w:rsidRPr="00F9548D" w:rsidRDefault="00E60EDF" w:rsidP="00E60EDF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</w:tbl>
    <w:p w:rsidR="00E60EDF" w:rsidRDefault="00E60EDF" w:rsidP="00E60EDF"/>
    <w:p w:rsidR="009F67AA" w:rsidRDefault="009F67AA">
      <w:pPr>
        <w:spacing w:before="0" w:after="0" w:line="240" w:lineRule="auto"/>
      </w:pPr>
      <w:r>
        <w:br w:type="page"/>
      </w:r>
    </w:p>
    <w:p w:rsidR="009F67AA" w:rsidRDefault="009F67AA" w:rsidP="009F67AA">
      <w:pPr>
        <w:pStyle w:val="Heading6"/>
      </w:pPr>
      <w:r>
        <w:t xml:space="preserve">Appendix 5: National Welfare Manager </w:t>
      </w:r>
      <w:r w:rsidR="000F545C">
        <w:t>–</w:t>
      </w:r>
      <w:r>
        <w:t xml:space="preserve"> </w:t>
      </w:r>
      <w:r w:rsidR="00A33BCF">
        <w:t xml:space="preserve">CDEM </w:t>
      </w:r>
      <w:r>
        <w:t>Group Welfare Managers Teleconference (Day 2)</w:t>
      </w:r>
    </w:p>
    <w:p w:rsidR="009F67AA" w:rsidRPr="007864C6" w:rsidRDefault="009F67AA" w:rsidP="009F67AA"/>
    <w:p w:rsidR="009F67AA" w:rsidRPr="002D6FF0" w:rsidRDefault="009F67AA" w:rsidP="009F67AA">
      <w:pPr>
        <w:pStyle w:val="Titlesubheadingsnotforcontents"/>
        <w:rPr>
          <w:color w:val="4BACC6" w:themeColor="accent5"/>
        </w:rPr>
      </w:pPr>
      <w:r w:rsidRPr="002D6FF0">
        <w:rPr>
          <w:noProof/>
          <w:color w:val="4BACC6" w:themeColor="accent5"/>
          <w:lang w:eastAsia="en-NZ"/>
        </w:rPr>
        <w:drawing>
          <wp:anchor distT="0" distB="0" distL="114300" distR="114300" simplePos="0" relativeHeight="251665408" behindDoc="1" locked="0" layoutInCell="1" allowOverlap="1" wp14:anchorId="3476C18F" wp14:editId="4AEC4DEF">
            <wp:simplePos x="0" y="0"/>
            <wp:positionH relativeFrom="column">
              <wp:posOffset>-70485</wp:posOffset>
            </wp:positionH>
            <wp:positionV relativeFrom="paragraph">
              <wp:posOffset>-43815</wp:posOffset>
            </wp:positionV>
            <wp:extent cx="523875" cy="531495"/>
            <wp:effectExtent l="0" t="0" r="9525" b="1905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FF0">
        <w:rPr>
          <w:color w:val="4BACC6" w:themeColor="accent5"/>
        </w:rPr>
        <w:t>Tsunami Teleconference Schedule</w:t>
      </w:r>
    </w:p>
    <w:p w:rsidR="009F67AA" w:rsidRPr="00AF54DD" w:rsidRDefault="009F67AA" w:rsidP="009F67AA"/>
    <w:tbl>
      <w:tblPr>
        <w:tblStyle w:val="TableGrid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145"/>
        <w:gridCol w:w="7241"/>
      </w:tblGrid>
      <w:tr w:rsidR="009F67AA" w:rsidTr="0052387D">
        <w:tc>
          <w:tcPr>
            <w:tcW w:w="2145" w:type="dxa"/>
            <w:shd w:val="clear" w:color="auto" w:fill="4BACC6" w:themeFill="accent5"/>
          </w:tcPr>
          <w:p w:rsidR="009F67AA" w:rsidRDefault="009F67AA" w:rsidP="0052387D">
            <w:pPr>
              <w:pStyle w:val="Tableheading"/>
            </w:pPr>
            <w:r>
              <w:t>Topic:</w:t>
            </w:r>
          </w:p>
        </w:tc>
        <w:tc>
          <w:tcPr>
            <w:tcW w:w="7241" w:type="dxa"/>
            <w:shd w:val="clear" w:color="auto" w:fill="4BACC6" w:themeFill="accent5"/>
          </w:tcPr>
          <w:p w:rsidR="009F67AA" w:rsidRDefault="009F67AA" w:rsidP="0052387D">
            <w:pPr>
              <w:pStyle w:val="Tableheading"/>
            </w:pPr>
            <w:r>
              <w:t>Description</w:t>
            </w:r>
          </w:p>
        </w:tc>
      </w:tr>
      <w:tr w:rsidR="009F67AA" w:rsidRPr="00780146" w:rsidTr="0052387D">
        <w:tc>
          <w:tcPr>
            <w:tcW w:w="2145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Introduction</w:t>
            </w:r>
          </w:p>
        </w:tc>
        <w:tc>
          <w:tcPr>
            <w:tcW w:w="7241" w:type="dxa"/>
          </w:tcPr>
          <w:p w:rsidR="009F67AA" w:rsidRDefault="009F67AA" w:rsidP="0052387D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National Welfare Manager (representing the NWCG)</w:t>
            </w:r>
          </w:p>
          <w:p w:rsidR="009F67AA" w:rsidRDefault="009F67AA" w:rsidP="0052387D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CDEM Group representatives attending the teleconference (including those listening in)</w:t>
            </w:r>
          </w:p>
          <w:p w:rsidR="009F67AA" w:rsidRPr="00F9548D" w:rsidRDefault="009F67AA" w:rsidP="0052387D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Any other parties</w:t>
            </w:r>
          </w:p>
        </w:tc>
      </w:tr>
      <w:tr w:rsidR="009F67AA" w:rsidRPr="00780146" w:rsidTr="0052387D">
        <w:tc>
          <w:tcPr>
            <w:tcW w:w="2145" w:type="dxa"/>
          </w:tcPr>
          <w:p w:rsidR="009F67AA" w:rsidRPr="00471846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National Welfare Manager</w:t>
            </w:r>
          </w:p>
        </w:tc>
        <w:tc>
          <w:tcPr>
            <w:tcW w:w="7241" w:type="dxa"/>
          </w:tcPr>
          <w:p w:rsidR="009F67AA" w:rsidRDefault="009F67AA" w:rsidP="0052387D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Brief overview on the exercise</w:t>
            </w:r>
          </w:p>
          <w:p w:rsidR="009F67AA" w:rsidRPr="00F9548D" w:rsidRDefault="009F67AA" w:rsidP="009F67AA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Update on NWCG workshop</w:t>
            </w:r>
            <w:r w:rsidR="00976194">
              <w:t>, including challenges, issues, or resourcing shortfalls raised</w:t>
            </w:r>
          </w:p>
        </w:tc>
      </w:tr>
      <w:tr w:rsidR="009F67AA" w:rsidRPr="00780146" w:rsidTr="0052387D">
        <w:tc>
          <w:tcPr>
            <w:tcW w:w="2145" w:type="dxa"/>
          </w:tcPr>
          <w:p w:rsidR="009F67AA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CDEM Groups</w:t>
            </w:r>
          </w:p>
        </w:tc>
        <w:tc>
          <w:tcPr>
            <w:tcW w:w="7241" w:type="dxa"/>
          </w:tcPr>
          <w:p w:rsidR="009F67AA" w:rsidRPr="00AF54D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 w:hanging="357"/>
              <w:rPr>
                <w:i/>
              </w:rPr>
            </w:pPr>
            <w:r w:rsidRPr="00AF54DD">
              <w:rPr>
                <w:b/>
                <w:i/>
              </w:rPr>
              <w:t>Note:</w:t>
            </w:r>
            <w:r>
              <w:rPr>
                <w:i/>
              </w:rPr>
              <w:t xml:space="preserve"> The </w:t>
            </w:r>
            <w:r w:rsidR="0096269D">
              <w:rPr>
                <w:i/>
              </w:rPr>
              <w:t xml:space="preserve">CDEM </w:t>
            </w:r>
            <w:r>
              <w:rPr>
                <w:i/>
              </w:rPr>
              <w:t>Group speaking order will follow North to South</w:t>
            </w:r>
          </w:p>
          <w:p w:rsidR="00CD4B55" w:rsidRDefault="009F67AA" w:rsidP="0052387D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rPr>
                <w:b/>
                <w:u w:val="single"/>
              </w:rPr>
              <w:t>Brief</w:t>
            </w:r>
            <w:r w:rsidR="00976194">
              <w:t xml:space="preserve"> overview on how the exercise is going (to date)</w:t>
            </w:r>
            <w:r>
              <w:t>, including</w:t>
            </w:r>
            <w:r w:rsidR="00976194">
              <w:t xml:space="preserve"> whether the </w:t>
            </w:r>
            <w:r w:rsidR="00CD4B55">
              <w:t>following anticipated issues became a reality (or were likely to) including:</w:t>
            </w:r>
          </w:p>
          <w:p w:rsidR="00CD4B55" w:rsidRDefault="00CD4B55" w:rsidP="00CD4B55">
            <w:pPr>
              <w:pStyle w:val="Tablebullet"/>
              <w:numPr>
                <w:ilvl w:val="1"/>
                <w:numId w:val="1"/>
              </w:numPr>
              <w:spacing w:before="40" w:after="40" w:line="264" w:lineRule="auto"/>
            </w:pPr>
            <w:r>
              <w:t xml:space="preserve">pinch points, and </w:t>
            </w:r>
            <w:r w:rsidR="009F67AA" w:rsidRPr="006C1C72">
              <w:t>prioritisation</w:t>
            </w:r>
            <w:r w:rsidR="009F67AA">
              <w:t xml:space="preserve"> of welfare services</w:t>
            </w:r>
          </w:p>
          <w:p w:rsidR="00CD4B55" w:rsidRDefault="009F67AA" w:rsidP="00CD4B55">
            <w:pPr>
              <w:pStyle w:val="Tablebullet"/>
              <w:numPr>
                <w:ilvl w:val="1"/>
                <w:numId w:val="1"/>
              </w:numPr>
              <w:spacing w:before="40" w:after="40" w:line="264" w:lineRule="auto"/>
            </w:pPr>
            <w:r>
              <w:t>communication or information issues</w:t>
            </w:r>
          </w:p>
          <w:p w:rsidR="009F67AA" w:rsidRPr="003C5DC2" w:rsidRDefault="009F67AA" w:rsidP="00CD4B55">
            <w:pPr>
              <w:pStyle w:val="Tablebullet"/>
              <w:numPr>
                <w:ilvl w:val="1"/>
                <w:numId w:val="1"/>
              </w:numPr>
              <w:spacing w:before="40" w:after="40" w:line="264" w:lineRule="auto"/>
            </w:pPr>
            <w:r>
              <w:t>resource shortfalls sought for welfare service provision</w:t>
            </w:r>
          </w:p>
        </w:tc>
      </w:tr>
      <w:tr w:rsidR="009F67AA" w:rsidRPr="00780146" w:rsidTr="0052387D">
        <w:tc>
          <w:tcPr>
            <w:tcW w:w="2145" w:type="dxa"/>
          </w:tcPr>
          <w:p w:rsidR="009F67AA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Summary</w:t>
            </w:r>
          </w:p>
        </w:tc>
        <w:tc>
          <w:tcPr>
            <w:tcW w:w="7241" w:type="dxa"/>
          </w:tcPr>
          <w:p w:rsidR="00B54DC6" w:rsidRDefault="00B54DC6" w:rsidP="0052387D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How CDEM Group challenges, issues, or resource shortfalls align with national feedback</w:t>
            </w:r>
          </w:p>
          <w:p w:rsidR="009F67AA" w:rsidRDefault="009F67AA" w:rsidP="0052387D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Any other matters/concerns</w:t>
            </w:r>
          </w:p>
          <w:p w:rsidR="009F67AA" w:rsidRPr="00AF54DD" w:rsidRDefault="009F67AA" w:rsidP="0052387D">
            <w:pPr>
              <w:pStyle w:val="Tablebullet"/>
              <w:numPr>
                <w:ilvl w:val="0"/>
                <w:numId w:val="1"/>
              </w:numPr>
              <w:spacing w:before="40" w:after="40" w:line="264" w:lineRule="auto"/>
            </w:pPr>
            <w:r>
              <w:t>End call</w:t>
            </w:r>
          </w:p>
        </w:tc>
      </w:tr>
    </w:tbl>
    <w:p w:rsidR="00F84F1E" w:rsidRDefault="00F84F1E" w:rsidP="009F67AA">
      <w:pPr>
        <w:pStyle w:val="Heading4"/>
        <w:numPr>
          <w:ilvl w:val="3"/>
          <w:numId w:val="6"/>
        </w:numPr>
        <w:rPr>
          <w:color w:val="4BACC6" w:themeColor="accent5"/>
        </w:rPr>
      </w:pPr>
    </w:p>
    <w:p w:rsidR="00F84F1E" w:rsidRDefault="00F84F1E" w:rsidP="00F84F1E">
      <w:pPr>
        <w:rPr>
          <w:rFonts w:ascii="Arial Narrow" w:eastAsiaTheme="majorEastAsia" w:hAnsi="Arial Narrow" w:cstheme="majorBidi"/>
          <w:sz w:val="28"/>
          <w:szCs w:val="20"/>
        </w:rPr>
      </w:pPr>
      <w:r>
        <w:br w:type="page"/>
      </w:r>
    </w:p>
    <w:p w:rsidR="009F67AA" w:rsidRDefault="009F67AA" w:rsidP="009F67AA">
      <w:pPr>
        <w:pStyle w:val="Heading4"/>
        <w:numPr>
          <w:ilvl w:val="3"/>
          <w:numId w:val="6"/>
        </w:numPr>
        <w:rPr>
          <w:color w:val="4BACC6" w:themeColor="accent5"/>
        </w:rPr>
      </w:pPr>
      <w:r w:rsidRPr="00471846">
        <w:rPr>
          <w:color w:val="4BACC6" w:themeColor="accent5"/>
        </w:rPr>
        <w:t>TELECONFERENCE</w:t>
      </w:r>
      <w:r>
        <w:rPr>
          <w:color w:val="4BACC6" w:themeColor="accent5"/>
        </w:rPr>
        <w:t xml:space="preserve"> ATTENDANCE</w:t>
      </w:r>
    </w:p>
    <w:p w:rsidR="009F67AA" w:rsidRDefault="009F67AA" w:rsidP="009F67AA">
      <w:r w:rsidRPr="005F33CB">
        <w:t xml:space="preserve">The following checklist </w:t>
      </w:r>
      <w:r>
        <w:t>will</w:t>
      </w:r>
      <w:r w:rsidRPr="005F33CB">
        <w:t xml:space="preserve"> be used by the National </w:t>
      </w:r>
      <w:r>
        <w:t>Welfare Manager during the</w:t>
      </w:r>
      <w:r w:rsidRPr="005F33CB">
        <w:t xml:space="preserve"> </w:t>
      </w:r>
      <w:r w:rsidR="0096269D">
        <w:t xml:space="preserve">CDEM </w:t>
      </w:r>
      <w:r w:rsidRPr="005F33CB">
        <w:t xml:space="preserve">Group teleconference to ensure that all </w:t>
      </w:r>
      <w:r w:rsidR="0096269D">
        <w:t xml:space="preserve">CDEM </w:t>
      </w:r>
      <w:r w:rsidRPr="005F33CB">
        <w:t>Groups have been accounted for in the call.</w:t>
      </w:r>
    </w:p>
    <w:tbl>
      <w:tblPr>
        <w:tblStyle w:val="TableGrid"/>
        <w:tblW w:w="0" w:type="auto"/>
        <w:tblInd w:w="108" w:type="dxa"/>
        <w:tblBorders>
          <w:top w:val="single" w:sz="12" w:space="0" w:color="4BACC6" w:themeColor="accent5"/>
          <w:left w:val="single" w:sz="12" w:space="0" w:color="4BACC6" w:themeColor="accent5"/>
          <w:bottom w:val="single" w:sz="12" w:space="0" w:color="4BACC6" w:themeColor="accent5"/>
          <w:right w:val="single" w:sz="12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571"/>
        <w:gridCol w:w="2976"/>
        <w:gridCol w:w="3839"/>
      </w:tblGrid>
      <w:tr w:rsidR="009F67AA" w:rsidTr="0052387D">
        <w:tc>
          <w:tcPr>
            <w:tcW w:w="2571" w:type="dxa"/>
            <w:shd w:val="clear" w:color="auto" w:fill="4BACC6" w:themeFill="accent5"/>
          </w:tcPr>
          <w:p w:rsidR="009F67AA" w:rsidRDefault="00A33BCF" w:rsidP="0052387D">
            <w:pPr>
              <w:pStyle w:val="Tableheading"/>
            </w:pPr>
            <w:r>
              <w:t xml:space="preserve">CDEM </w:t>
            </w:r>
            <w:r w:rsidR="009F67AA">
              <w:t>Group</w:t>
            </w:r>
          </w:p>
        </w:tc>
        <w:tc>
          <w:tcPr>
            <w:tcW w:w="2976" w:type="dxa"/>
            <w:shd w:val="clear" w:color="auto" w:fill="4BACC6" w:themeFill="accent5"/>
          </w:tcPr>
          <w:p w:rsidR="009F67AA" w:rsidRDefault="00A33BCF" w:rsidP="0052387D">
            <w:pPr>
              <w:pStyle w:val="Tableheading"/>
            </w:pPr>
            <w:r>
              <w:t xml:space="preserve">CDEM </w:t>
            </w:r>
            <w:r w:rsidR="009F67AA">
              <w:t>Group Welfare Manager</w:t>
            </w:r>
          </w:p>
        </w:tc>
        <w:tc>
          <w:tcPr>
            <w:tcW w:w="3839" w:type="dxa"/>
            <w:shd w:val="clear" w:color="auto" w:fill="4BACC6" w:themeFill="accent5"/>
          </w:tcPr>
          <w:p w:rsidR="009F67AA" w:rsidRDefault="009F67AA" w:rsidP="0052387D">
            <w:pPr>
              <w:pStyle w:val="Tableheading"/>
            </w:pPr>
            <w:r>
              <w:t>Comments</w:t>
            </w: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Northland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Auckland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Waikato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Bay of Plenty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Gisborne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Taranaki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Hawke’s Bay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96269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Manawatu-Wanganui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Wellington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Marlborough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Nelson-Tasman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West Coast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Canterbury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 xml:space="preserve">Southland 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Otago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  <w:tr w:rsidR="009F67AA" w:rsidRPr="00780146" w:rsidTr="0052387D">
        <w:tc>
          <w:tcPr>
            <w:tcW w:w="2571" w:type="dxa"/>
          </w:tcPr>
          <w:p w:rsidR="009F67AA" w:rsidRPr="00CB1ACF" w:rsidRDefault="009F67AA" w:rsidP="0052387D">
            <w:pPr>
              <w:pStyle w:val="Greyitalic"/>
              <w:rPr>
                <w:b/>
                <w:i w:val="0"/>
                <w:color w:val="000000" w:themeColor="text1"/>
              </w:rPr>
            </w:pPr>
            <w:r>
              <w:rPr>
                <w:b/>
                <w:i w:val="0"/>
                <w:color w:val="000000" w:themeColor="text1"/>
              </w:rPr>
              <w:t>Chatham Islands</w:t>
            </w:r>
          </w:p>
        </w:tc>
        <w:tc>
          <w:tcPr>
            <w:tcW w:w="2976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  <w:tc>
          <w:tcPr>
            <w:tcW w:w="3839" w:type="dxa"/>
          </w:tcPr>
          <w:p w:rsidR="009F67AA" w:rsidRPr="00F9548D" w:rsidRDefault="009F67AA" w:rsidP="0052387D">
            <w:pPr>
              <w:pStyle w:val="Tablebullet"/>
              <w:numPr>
                <w:ilvl w:val="0"/>
                <w:numId w:val="0"/>
              </w:numPr>
              <w:spacing w:before="40" w:after="40" w:line="264" w:lineRule="auto"/>
              <w:ind w:left="357"/>
            </w:pPr>
          </w:p>
        </w:tc>
      </w:tr>
    </w:tbl>
    <w:p w:rsidR="009F67AA" w:rsidRDefault="009F67AA" w:rsidP="009F67AA"/>
    <w:p w:rsidR="00C02A14" w:rsidRPr="00C02A14" w:rsidRDefault="00C02A14" w:rsidP="0050698D">
      <w:pPr>
        <w:spacing w:before="0" w:after="0" w:line="240" w:lineRule="auto"/>
      </w:pPr>
    </w:p>
    <w:sectPr w:rsidR="00C02A14" w:rsidRPr="00C02A14" w:rsidSect="002E3BAA">
      <w:headerReference w:type="default" r:id="rId10"/>
      <w:footerReference w:type="default" r:id="rId11"/>
      <w:type w:val="continuous"/>
      <w:pgSz w:w="11906" w:h="16838"/>
      <w:pgMar w:top="119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A1" w:rsidRDefault="00A26BA1" w:rsidP="00EA5E62">
      <w:r>
        <w:separator/>
      </w:r>
    </w:p>
    <w:p w:rsidR="00A26BA1" w:rsidRDefault="00A26BA1" w:rsidP="00EA5E62"/>
  </w:endnote>
  <w:endnote w:type="continuationSeparator" w:id="0">
    <w:p w:rsidR="00A26BA1" w:rsidRDefault="00A26BA1" w:rsidP="00EA5E62">
      <w:r>
        <w:continuationSeparator/>
      </w:r>
    </w:p>
    <w:p w:rsidR="00A26BA1" w:rsidRDefault="00A26BA1" w:rsidP="00EA5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7D" w:rsidRDefault="0052387D" w:rsidP="00EA5E62">
    <w:pPr>
      <w:pStyle w:val="MCDEMfooter"/>
    </w:pPr>
    <w:r>
      <w:t>Ministry of Civil Defence &amp; Emergency Management</w:t>
    </w:r>
  </w:p>
  <w:p w:rsidR="0052387D" w:rsidRDefault="0052387D" w:rsidP="00EA5E62">
    <w:pPr>
      <w:pStyle w:val="MCDEMfooter"/>
    </w:pPr>
    <w:r>
      <w:t>Exercise Tangaroa Welfare Participation Guide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A3086">
      <w:rPr>
        <w:noProof/>
      </w:rPr>
      <w:t>4</w:t>
    </w:r>
    <w:r>
      <w:rPr>
        <w:noProof/>
      </w:rPr>
      <w:fldChar w:fldCharType="end"/>
    </w:r>
    <w:r>
      <w:t xml:space="preserve"> of </w:t>
    </w:r>
    <w:r w:rsidR="00BA3086">
      <w:fldChar w:fldCharType="begin"/>
    </w:r>
    <w:r w:rsidR="00BA3086">
      <w:instrText xml:space="preserve"> NUMPAGES   \* MERGEFORMAT </w:instrText>
    </w:r>
    <w:r w:rsidR="00BA3086">
      <w:fldChar w:fldCharType="separate"/>
    </w:r>
    <w:r w:rsidR="00BA3086">
      <w:rPr>
        <w:noProof/>
      </w:rPr>
      <w:t>4</w:t>
    </w:r>
    <w:r w:rsidR="00BA3086">
      <w:rPr>
        <w:noProof/>
      </w:rPr>
      <w:fldChar w:fldCharType="end"/>
    </w:r>
  </w:p>
  <w:p w:rsidR="0052387D" w:rsidRDefault="0052387D" w:rsidP="00EA5E62">
    <w:pPr>
      <w:pStyle w:val="MCDEMfooter"/>
    </w:pPr>
    <w:r>
      <w:tab/>
    </w:r>
  </w:p>
  <w:p w:rsidR="0052387D" w:rsidRDefault="0052387D" w:rsidP="00EA5E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7D" w:rsidRDefault="0052387D" w:rsidP="006475DC">
    <w:pPr>
      <w:pStyle w:val="MCDEMfooter"/>
    </w:pPr>
    <w:r>
      <w:t>Ministry of Civil Defence &amp; Emergency Management</w:t>
    </w:r>
  </w:p>
  <w:p w:rsidR="0052387D" w:rsidRDefault="0052387D" w:rsidP="006475DC">
    <w:pPr>
      <w:pStyle w:val="MCDEMfooter"/>
    </w:pPr>
    <w:r>
      <w:t>Exercise Tangaroa Welfare Participation Guide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A372D">
      <w:rPr>
        <w:noProof/>
      </w:rPr>
      <w:t>14</w:t>
    </w:r>
    <w:r>
      <w:rPr>
        <w:noProof/>
      </w:rPr>
      <w:fldChar w:fldCharType="end"/>
    </w:r>
    <w:r>
      <w:t xml:space="preserve"> of </w:t>
    </w:r>
    <w:r w:rsidR="00BA3086">
      <w:fldChar w:fldCharType="begin"/>
    </w:r>
    <w:r w:rsidR="00BA3086">
      <w:instrText xml:space="preserve"> NUMPAGES   \* MERGEFORMAT </w:instrText>
    </w:r>
    <w:r w:rsidR="00BA3086">
      <w:fldChar w:fldCharType="separate"/>
    </w:r>
    <w:r w:rsidR="006A372D">
      <w:rPr>
        <w:noProof/>
      </w:rPr>
      <w:t>14</w:t>
    </w:r>
    <w:r w:rsidR="00BA3086">
      <w:rPr>
        <w:noProof/>
      </w:rPr>
      <w:fldChar w:fldCharType="end"/>
    </w:r>
  </w:p>
  <w:p w:rsidR="0052387D" w:rsidRDefault="0052387D" w:rsidP="00EA5E62">
    <w:pPr>
      <w:pStyle w:val="MCDEMfooter"/>
    </w:pPr>
    <w:r>
      <w:tab/>
    </w:r>
  </w:p>
  <w:p w:rsidR="0052387D" w:rsidRDefault="0052387D" w:rsidP="00EA5E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A1" w:rsidRDefault="00A26BA1" w:rsidP="00EA5E62">
      <w:r>
        <w:separator/>
      </w:r>
    </w:p>
    <w:p w:rsidR="00A26BA1" w:rsidRDefault="00A26BA1" w:rsidP="00EA5E62"/>
  </w:footnote>
  <w:footnote w:type="continuationSeparator" w:id="0">
    <w:p w:rsidR="00A26BA1" w:rsidRDefault="00A26BA1" w:rsidP="00EA5E62">
      <w:r>
        <w:continuationSeparator/>
      </w:r>
    </w:p>
    <w:p w:rsidR="00A26BA1" w:rsidRDefault="00A26BA1" w:rsidP="00EA5E62"/>
  </w:footnote>
  <w:footnote w:id="1">
    <w:p w:rsidR="0052387D" w:rsidRDefault="0052387D">
      <w:pPr>
        <w:pStyle w:val="FootnoteText"/>
      </w:pPr>
      <w:r>
        <w:rPr>
          <w:rStyle w:val="FootnoteReference"/>
        </w:rPr>
        <w:footnoteRef/>
      </w:r>
      <w:r>
        <w:t xml:space="preserve"> Day of impact</w:t>
      </w:r>
    </w:p>
  </w:footnote>
  <w:footnote w:id="2">
    <w:p w:rsidR="0052387D" w:rsidRDefault="0052387D">
      <w:pPr>
        <w:pStyle w:val="FootnoteText"/>
      </w:pPr>
      <w:r>
        <w:rPr>
          <w:rStyle w:val="FootnoteReference"/>
        </w:rPr>
        <w:footnoteRef/>
      </w:r>
      <w:r>
        <w:t xml:space="preserve"> Notionally the day after impact (i.e. pretending that it is 1 September 2016)</w:t>
      </w:r>
    </w:p>
  </w:footnote>
  <w:footnote w:id="3">
    <w:p w:rsidR="0052387D" w:rsidRDefault="0052387D">
      <w:pPr>
        <w:pStyle w:val="FootnoteText"/>
      </w:pPr>
      <w:r>
        <w:rPr>
          <w:rStyle w:val="FootnoteReference"/>
        </w:rPr>
        <w:footnoteRef/>
      </w:r>
      <w:r>
        <w:t xml:space="preserve"> Notionally two weeks after </w:t>
      </w:r>
      <w:r w:rsidR="00B86E94">
        <w:t>day of impact</w:t>
      </w:r>
      <w:r>
        <w:t xml:space="preserve"> (i.e. pretending that it is 14 September 2016)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7D" w:rsidRPr="00973D03" w:rsidRDefault="0052387D" w:rsidP="00EA5E62">
    <w:pPr>
      <w:pStyle w:val="MCDEMheader"/>
    </w:pPr>
  </w:p>
  <w:p w:rsidR="0052387D" w:rsidRDefault="0052387D" w:rsidP="00EA5E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4F9"/>
    <w:multiLevelType w:val="multilevel"/>
    <w:tmpl w:val="FBDCEE4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9A48C7"/>
    <w:multiLevelType w:val="hybridMultilevel"/>
    <w:tmpl w:val="70E8EA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4" w15:restartNumberingAfterBreak="0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5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214B771D"/>
    <w:multiLevelType w:val="hybridMultilevel"/>
    <w:tmpl w:val="DC08BA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21E47"/>
    <w:multiLevelType w:val="hybridMultilevel"/>
    <w:tmpl w:val="9298615E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2371E5"/>
    <w:multiLevelType w:val="hybridMultilevel"/>
    <w:tmpl w:val="583A41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B63C8"/>
    <w:multiLevelType w:val="multilevel"/>
    <w:tmpl w:val="A79ED950"/>
    <w:numStyleLink w:val="MCDEMbullet"/>
  </w:abstractNum>
  <w:abstractNum w:abstractNumId="10" w15:restartNumberingAfterBreak="0">
    <w:nsid w:val="32483ACC"/>
    <w:multiLevelType w:val="hybridMultilevel"/>
    <w:tmpl w:val="33443D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213F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F749D0"/>
    <w:multiLevelType w:val="hybridMultilevel"/>
    <w:tmpl w:val="989E4A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0322"/>
    <w:multiLevelType w:val="hybridMultilevel"/>
    <w:tmpl w:val="D7A2F1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14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1"/>
  </w:num>
  <w:num w:numId="16">
    <w:abstractNumId w:val="8"/>
  </w:num>
  <w:num w:numId="17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8A"/>
    <w:rsid w:val="00003365"/>
    <w:rsid w:val="00003E8D"/>
    <w:rsid w:val="0001218A"/>
    <w:rsid w:val="00030C62"/>
    <w:rsid w:val="000319BD"/>
    <w:rsid w:val="00033DD1"/>
    <w:rsid w:val="00053751"/>
    <w:rsid w:val="00060E52"/>
    <w:rsid w:val="0006602D"/>
    <w:rsid w:val="000765B8"/>
    <w:rsid w:val="00081C29"/>
    <w:rsid w:val="000871E7"/>
    <w:rsid w:val="000C2D5A"/>
    <w:rsid w:val="000C7247"/>
    <w:rsid w:val="000E0341"/>
    <w:rsid w:val="000F545C"/>
    <w:rsid w:val="000F5E56"/>
    <w:rsid w:val="001026B1"/>
    <w:rsid w:val="00110547"/>
    <w:rsid w:val="0012036F"/>
    <w:rsid w:val="00120715"/>
    <w:rsid w:val="00122A60"/>
    <w:rsid w:val="001431C8"/>
    <w:rsid w:val="001742A7"/>
    <w:rsid w:val="00175619"/>
    <w:rsid w:val="001836AD"/>
    <w:rsid w:val="00195902"/>
    <w:rsid w:val="001C0312"/>
    <w:rsid w:val="001C7911"/>
    <w:rsid w:val="001D44B0"/>
    <w:rsid w:val="001F18E5"/>
    <w:rsid w:val="00206C2F"/>
    <w:rsid w:val="00215107"/>
    <w:rsid w:val="002313E2"/>
    <w:rsid w:val="00240A3D"/>
    <w:rsid w:val="00250A73"/>
    <w:rsid w:val="002730A0"/>
    <w:rsid w:val="0028688E"/>
    <w:rsid w:val="002A1C4E"/>
    <w:rsid w:val="002A2906"/>
    <w:rsid w:val="002A45AE"/>
    <w:rsid w:val="002B57B7"/>
    <w:rsid w:val="002C02AF"/>
    <w:rsid w:val="002D4CC3"/>
    <w:rsid w:val="002E3BAA"/>
    <w:rsid w:val="002E4125"/>
    <w:rsid w:val="002F336E"/>
    <w:rsid w:val="002F3894"/>
    <w:rsid w:val="0030608D"/>
    <w:rsid w:val="0033361F"/>
    <w:rsid w:val="00343AA6"/>
    <w:rsid w:val="00381326"/>
    <w:rsid w:val="0038147A"/>
    <w:rsid w:val="00384F65"/>
    <w:rsid w:val="00394C05"/>
    <w:rsid w:val="003C5DC2"/>
    <w:rsid w:val="003D21AE"/>
    <w:rsid w:val="003D7661"/>
    <w:rsid w:val="003F1FF7"/>
    <w:rsid w:val="004143BC"/>
    <w:rsid w:val="0041706C"/>
    <w:rsid w:val="00420C75"/>
    <w:rsid w:val="004320AB"/>
    <w:rsid w:val="00440C1F"/>
    <w:rsid w:val="00443BB4"/>
    <w:rsid w:val="004554F3"/>
    <w:rsid w:val="00455F7A"/>
    <w:rsid w:val="00461C74"/>
    <w:rsid w:val="004647CD"/>
    <w:rsid w:val="00480A60"/>
    <w:rsid w:val="004900D1"/>
    <w:rsid w:val="004A390D"/>
    <w:rsid w:val="004A5E56"/>
    <w:rsid w:val="004C2AB7"/>
    <w:rsid w:val="004C4DA5"/>
    <w:rsid w:val="004C6D1C"/>
    <w:rsid w:val="0050698D"/>
    <w:rsid w:val="005130C9"/>
    <w:rsid w:val="0052387D"/>
    <w:rsid w:val="005461A3"/>
    <w:rsid w:val="005548D3"/>
    <w:rsid w:val="00577BD3"/>
    <w:rsid w:val="005807C6"/>
    <w:rsid w:val="00582749"/>
    <w:rsid w:val="0059062D"/>
    <w:rsid w:val="005972A2"/>
    <w:rsid w:val="005A2804"/>
    <w:rsid w:val="005B1F94"/>
    <w:rsid w:val="005B6A6C"/>
    <w:rsid w:val="005B7B23"/>
    <w:rsid w:val="005C61C7"/>
    <w:rsid w:val="005C74DE"/>
    <w:rsid w:val="005D7B8A"/>
    <w:rsid w:val="005E40CD"/>
    <w:rsid w:val="00604090"/>
    <w:rsid w:val="006101A7"/>
    <w:rsid w:val="00610CDD"/>
    <w:rsid w:val="006120FB"/>
    <w:rsid w:val="00613C50"/>
    <w:rsid w:val="006147F5"/>
    <w:rsid w:val="00621C53"/>
    <w:rsid w:val="006475DC"/>
    <w:rsid w:val="006622DC"/>
    <w:rsid w:val="00665E6C"/>
    <w:rsid w:val="00672ACA"/>
    <w:rsid w:val="00694EA2"/>
    <w:rsid w:val="006958B1"/>
    <w:rsid w:val="006A372D"/>
    <w:rsid w:val="006B7EDC"/>
    <w:rsid w:val="006C1C72"/>
    <w:rsid w:val="006D39AA"/>
    <w:rsid w:val="006D6B32"/>
    <w:rsid w:val="006E1E6D"/>
    <w:rsid w:val="006E34B1"/>
    <w:rsid w:val="00707CF7"/>
    <w:rsid w:val="00712F15"/>
    <w:rsid w:val="007137F4"/>
    <w:rsid w:val="00723958"/>
    <w:rsid w:val="00727BD9"/>
    <w:rsid w:val="0073073A"/>
    <w:rsid w:val="00730A06"/>
    <w:rsid w:val="007506C5"/>
    <w:rsid w:val="00751F1B"/>
    <w:rsid w:val="007634B9"/>
    <w:rsid w:val="00771F8C"/>
    <w:rsid w:val="007857ED"/>
    <w:rsid w:val="007864C6"/>
    <w:rsid w:val="007A0623"/>
    <w:rsid w:val="007A3F32"/>
    <w:rsid w:val="007B4A19"/>
    <w:rsid w:val="007B6285"/>
    <w:rsid w:val="007C3D9D"/>
    <w:rsid w:val="007E3342"/>
    <w:rsid w:val="007F0BD0"/>
    <w:rsid w:val="00811F3B"/>
    <w:rsid w:val="0081213D"/>
    <w:rsid w:val="00817076"/>
    <w:rsid w:val="00824AAC"/>
    <w:rsid w:val="008456EB"/>
    <w:rsid w:val="00851959"/>
    <w:rsid w:val="00855A5B"/>
    <w:rsid w:val="008622E5"/>
    <w:rsid w:val="00866BD1"/>
    <w:rsid w:val="0089602C"/>
    <w:rsid w:val="008E709A"/>
    <w:rsid w:val="00900388"/>
    <w:rsid w:val="009020A7"/>
    <w:rsid w:val="00907158"/>
    <w:rsid w:val="009137DA"/>
    <w:rsid w:val="009170F4"/>
    <w:rsid w:val="00917E93"/>
    <w:rsid w:val="009210E7"/>
    <w:rsid w:val="00922ED0"/>
    <w:rsid w:val="00930533"/>
    <w:rsid w:val="009501D9"/>
    <w:rsid w:val="00955A0A"/>
    <w:rsid w:val="0096269D"/>
    <w:rsid w:val="009630E5"/>
    <w:rsid w:val="00966A3F"/>
    <w:rsid w:val="00967894"/>
    <w:rsid w:val="00973D03"/>
    <w:rsid w:val="00976194"/>
    <w:rsid w:val="00976D92"/>
    <w:rsid w:val="00990266"/>
    <w:rsid w:val="0099033E"/>
    <w:rsid w:val="009922BC"/>
    <w:rsid w:val="009953EC"/>
    <w:rsid w:val="009B35EC"/>
    <w:rsid w:val="009C7EA7"/>
    <w:rsid w:val="009D613C"/>
    <w:rsid w:val="009F656B"/>
    <w:rsid w:val="009F67AA"/>
    <w:rsid w:val="00A0032D"/>
    <w:rsid w:val="00A05D51"/>
    <w:rsid w:val="00A10FDB"/>
    <w:rsid w:val="00A11FE0"/>
    <w:rsid w:val="00A134C9"/>
    <w:rsid w:val="00A24BE4"/>
    <w:rsid w:val="00A26BA1"/>
    <w:rsid w:val="00A33BCF"/>
    <w:rsid w:val="00AB3E6F"/>
    <w:rsid w:val="00AE544B"/>
    <w:rsid w:val="00AF187E"/>
    <w:rsid w:val="00B00832"/>
    <w:rsid w:val="00B30E8B"/>
    <w:rsid w:val="00B33925"/>
    <w:rsid w:val="00B36BAF"/>
    <w:rsid w:val="00B52C44"/>
    <w:rsid w:val="00B53F25"/>
    <w:rsid w:val="00B54DC6"/>
    <w:rsid w:val="00B72415"/>
    <w:rsid w:val="00B74218"/>
    <w:rsid w:val="00B77B20"/>
    <w:rsid w:val="00B8583C"/>
    <w:rsid w:val="00B86E94"/>
    <w:rsid w:val="00B9609E"/>
    <w:rsid w:val="00BA3086"/>
    <w:rsid w:val="00BC112B"/>
    <w:rsid w:val="00BD1B5A"/>
    <w:rsid w:val="00BE7259"/>
    <w:rsid w:val="00BF5989"/>
    <w:rsid w:val="00BF7CFD"/>
    <w:rsid w:val="00C00F9B"/>
    <w:rsid w:val="00C025C3"/>
    <w:rsid w:val="00C02A14"/>
    <w:rsid w:val="00C246CE"/>
    <w:rsid w:val="00C25B28"/>
    <w:rsid w:val="00C300A9"/>
    <w:rsid w:val="00C34953"/>
    <w:rsid w:val="00C35E72"/>
    <w:rsid w:val="00C5745E"/>
    <w:rsid w:val="00C60E65"/>
    <w:rsid w:val="00C633F3"/>
    <w:rsid w:val="00C64C5E"/>
    <w:rsid w:val="00C85A60"/>
    <w:rsid w:val="00C914FF"/>
    <w:rsid w:val="00CA2CC8"/>
    <w:rsid w:val="00CA6C21"/>
    <w:rsid w:val="00CA7DC4"/>
    <w:rsid w:val="00CB60E3"/>
    <w:rsid w:val="00CC711E"/>
    <w:rsid w:val="00CD4B55"/>
    <w:rsid w:val="00CD705C"/>
    <w:rsid w:val="00CE751C"/>
    <w:rsid w:val="00CF6327"/>
    <w:rsid w:val="00D07361"/>
    <w:rsid w:val="00D1020A"/>
    <w:rsid w:val="00D170EE"/>
    <w:rsid w:val="00D20B00"/>
    <w:rsid w:val="00D23112"/>
    <w:rsid w:val="00D42690"/>
    <w:rsid w:val="00D44D2B"/>
    <w:rsid w:val="00D518D3"/>
    <w:rsid w:val="00D80556"/>
    <w:rsid w:val="00DC2620"/>
    <w:rsid w:val="00E00774"/>
    <w:rsid w:val="00E00E5D"/>
    <w:rsid w:val="00E04917"/>
    <w:rsid w:val="00E12F36"/>
    <w:rsid w:val="00E241B9"/>
    <w:rsid w:val="00E27C50"/>
    <w:rsid w:val="00E60EDF"/>
    <w:rsid w:val="00EA1462"/>
    <w:rsid w:val="00EA3DCD"/>
    <w:rsid w:val="00EA5E62"/>
    <w:rsid w:val="00EC1A3F"/>
    <w:rsid w:val="00EC2026"/>
    <w:rsid w:val="00ED03B0"/>
    <w:rsid w:val="00EE0492"/>
    <w:rsid w:val="00EE344F"/>
    <w:rsid w:val="00F017D7"/>
    <w:rsid w:val="00F11A5A"/>
    <w:rsid w:val="00F66403"/>
    <w:rsid w:val="00F7158B"/>
    <w:rsid w:val="00F84F1E"/>
    <w:rsid w:val="00F961C1"/>
    <w:rsid w:val="00FA0A59"/>
    <w:rsid w:val="00FA281D"/>
    <w:rsid w:val="00FA5848"/>
    <w:rsid w:val="00FB661F"/>
    <w:rsid w:val="00FC1189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3031DE5-9DC8-4C58-A8DF-7D1993D6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E62"/>
    <w:pPr>
      <w:spacing w:before="120" w:after="12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3342"/>
    <w:pPr>
      <w:keepNext/>
      <w:keepLines/>
      <w:pageBreakBefore/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3342"/>
    <w:p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0E65"/>
    <w:pPr>
      <w:keepNext/>
      <w:keepLines/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61C1"/>
    <w:pPr>
      <w:keepNext/>
      <w:keepLines/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ascii="Arial Narrow" w:eastAsiaTheme="majorEastAsia" w:hAnsi="Arial Narrow" w:cstheme="majorBidi"/>
      <w:b/>
      <w:bCs/>
      <w:i/>
      <w:iCs/>
      <w:color w:val="005A9B" w:themeColor="background2"/>
      <w:sz w:val="28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694EA2"/>
    <w:p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712F15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EC1A3F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455F7A"/>
    <w:pPr>
      <w:numPr>
        <w:numId w:val="7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3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455F7A"/>
    <w:pPr>
      <w:numPr>
        <w:numId w:val="8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4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5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7E334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C60E65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F961C1"/>
    <w:rPr>
      <w:rFonts w:ascii="Arial Narrow" w:eastAsiaTheme="majorEastAsia" w:hAnsi="Arial Narrow" w:cstheme="majorBidi"/>
      <w:b/>
      <w:bCs/>
      <w:i/>
      <w:iCs/>
      <w:color w:val="005A9B" w:themeColor="background2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712F15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1C0312"/>
    <w:pPr>
      <w:pBdr>
        <w:top w:val="single" w:sz="6" w:space="1" w:color="AFAFAF" w:themeColor="accent1"/>
      </w:pBdr>
      <w:tabs>
        <w:tab w:val="right" w:pos="9497"/>
      </w:tabs>
      <w:spacing w:before="0" w:after="0" w:line="240" w:lineRule="auto"/>
      <w:contextualSpacing/>
    </w:pPr>
    <w:rPr>
      <w:rFonts w:eastAsia="Times New Roman"/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2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customStyle="1" w:styleId="Greytext">
    <w:name w:val="Greytext"/>
    <w:basedOn w:val="Tablenormal0"/>
    <w:next w:val="Normal"/>
    <w:link w:val="GreytextChar"/>
    <w:qFormat/>
    <w:rsid w:val="00455F7A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455F7A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Redtextbullets">
    <w:name w:val="Redtext bullets"/>
    <w:basedOn w:val="Normal"/>
    <w:rsid w:val="00EC1A3F"/>
    <w:pPr>
      <w:numPr>
        <w:numId w:val="9"/>
      </w:numPr>
      <w:spacing w:before="20" w:after="20" w:line="240" w:lineRule="auto"/>
    </w:pPr>
    <w:rPr>
      <w:color w:val="9B2703" w:themeColor="accent2"/>
    </w:rPr>
  </w:style>
  <w:style w:type="character" w:customStyle="1" w:styleId="Heading8Char">
    <w:name w:val="Heading 8 Char"/>
    <w:basedOn w:val="DefaultParagraphFont"/>
    <w:link w:val="Heading8"/>
    <w:uiPriority w:val="9"/>
    <w:rsid w:val="00EC1A3F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paragraph" w:customStyle="1" w:styleId="TableText">
    <w:name w:val="Table Text"/>
    <w:basedOn w:val="Normal"/>
    <w:rsid w:val="009953EC"/>
    <w:pPr>
      <w:spacing w:before="40" w:after="40" w:line="240" w:lineRule="auto"/>
    </w:pPr>
    <w:rPr>
      <w:rFonts w:eastAsia="Times New Roman"/>
      <w:color w:val="000000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5D7B8A"/>
    <w:rPr>
      <w:b/>
      <w:bCs/>
      <w:smallCaps/>
      <w:color w:val="AFAFAF" w:themeColor="accent1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7F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7F4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7137F4"/>
    <w:rPr>
      <w:vertAlign w:val="superscript"/>
    </w:rPr>
  </w:style>
  <w:style w:type="paragraph" w:customStyle="1" w:styleId="Greyitalic">
    <w:name w:val="Grey italic"/>
    <w:basedOn w:val="Tablenormal0"/>
    <w:rsid w:val="007864C6"/>
    <w:pPr>
      <w:spacing w:before="40" w:after="40" w:line="264" w:lineRule="auto"/>
    </w:pPr>
    <w:rPr>
      <w:rFonts w:ascii="Arial" w:hAnsi="Arial"/>
      <w:i/>
      <w:iCs/>
      <w:color w:val="A6A6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2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4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F6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F65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2CBD-E7FB-4C1D-86A9-4950F88F7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2483</Words>
  <Characters>14158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16608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MacDiarmid [DPMC]</dc:creator>
  <cp:keywords/>
  <dc:description/>
  <cp:lastModifiedBy>Sara Leighton [DPMC]</cp:lastModifiedBy>
  <cp:revision>2</cp:revision>
  <cp:lastPrinted>2016-06-19T23:11:00Z</cp:lastPrinted>
  <dcterms:created xsi:type="dcterms:W3CDTF">2016-06-19T23:26:00Z</dcterms:created>
  <dcterms:modified xsi:type="dcterms:W3CDTF">2016-06-19T23:26:00Z</dcterms:modified>
</cp:coreProperties>
</file>