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59A42" w14:textId="65C3D800" w:rsidR="008F7F50" w:rsidRPr="008F7F50" w:rsidRDefault="008F7F50" w:rsidP="00D31EC1">
      <w:pPr>
        <w:pStyle w:val="Title"/>
        <w:rPr>
          <w:highlight w:val="yellow"/>
        </w:rPr>
      </w:pPr>
      <w:bookmarkStart w:id="0" w:name="_GoBack"/>
      <w:bookmarkEnd w:id="0"/>
      <w:r w:rsidRPr="008F7F50">
        <w:rPr>
          <w:highlight w:val="yellow"/>
        </w:rPr>
        <w:t xml:space="preserve">Name of </w:t>
      </w:r>
      <w:r w:rsidR="00AD4447">
        <w:rPr>
          <w:highlight w:val="yellow"/>
        </w:rPr>
        <w:t>C</w:t>
      </w:r>
      <w:r w:rsidRPr="008F7F50">
        <w:rPr>
          <w:highlight w:val="yellow"/>
        </w:rPr>
        <w:t>ouncil</w:t>
      </w:r>
      <w:r w:rsidR="00FB6C7E">
        <w:rPr>
          <w:highlight w:val="yellow"/>
        </w:rPr>
        <w:t xml:space="preserve">, logo </w:t>
      </w:r>
    </w:p>
    <w:p w14:paraId="347D3FF3" w14:textId="131C4B20" w:rsidR="000636DE" w:rsidRPr="000636DE" w:rsidRDefault="000636DE" w:rsidP="00D053CA">
      <w:pPr>
        <w:pStyle w:val="Header"/>
        <w:spacing w:before="120" w:after="120" w:line="276" w:lineRule="auto"/>
        <w:rPr>
          <w:rFonts w:cs="Arial"/>
          <w:i/>
          <w:sz w:val="12"/>
          <w:highlight w:val="yellow"/>
        </w:rPr>
      </w:pPr>
      <w:r w:rsidRPr="000636DE">
        <w:rPr>
          <w:rStyle w:val="TitleChar"/>
          <w:sz w:val="32"/>
        </w:rPr>
        <w:t>Record of powers exercised during th</w:t>
      </w:r>
      <w:r w:rsidRPr="00265F1F">
        <w:rPr>
          <w:rStyle w:val="TitleChar"/>
          <w:sz w:val="32"/>
        </w:rPr>
        <w:t>e local</w:t>
      </w:r>
      <w:r w:rsidRPr="000636DE">
        <w:rPr>
          <w:rStyle w:val="TitleChar"/>
          <w:sz w:val="32"/>
        </w:rPr>
        <w:t xml:space="preserve"> transition period for the </w:t>
      </w:r>
      <w:r w:rsidRPr="000636DE">
        <w:rPr>
          <w:rStyle w:val="TitleChar"/>
          <w:sz w:val="32"/>
          <w:highlight w:val="yellow"/>
        </w:rPr>
        <w:t>xxx</w:t>
      </w:r>
      <w:r w:rsidRPr="000636DE">
        <w:rPr>
          <w:rStyle w:val="TitleChar"/>
          <w:sz w:val="32"/>
        </w:rPr>
        <w:t xml:space="preserve"> emergency</w:t>
      </w:r>
    </w:p>
    <w:p w14:paraId="114B9AE7" w14:textId="12F8301D" w:rsidR="00D053CA" w:rsidRPr="00210F0F" w:rsidRDefault="00D053CA" w:rsidP="00D053CA">
      <w:pPr>
        <w:pStyle w:val="Header"/>
        <w:spacing w:before="120" w:after="120" w:line="276" w:lineRule="auto"/>
        <w:rPr>
          <w:rFonts w:cs="Arial"/>
          <w:i/>
          <w:highlight w:val="yellow"/>
        </w:rPr>
      </w:pPr>
      <w:r w:rsidRPr="00122AF0">
        <w:rPr>
          <w:rFonts w:cs="Arial"/>
          <w:i/>
          <w:highlight w:val="yellow"/>
        </w:rPr>
        <w:t xml:space="preserve">Replace yellow highlights with relevant information or delete if not applicable. </w:t>
      </w:r>
    </w:p>
    <w:p w14:paraId="1C825B13" w14:textId="2AC977BF" w:rsidR="00D053CA" w:rsidRDefault="00D053CA" w:rsidP="00D053CA">
      <w:pPr>
        <w:pStyle w:val="Header"/>
        <w:spacing w:before="120" w:after="120" w:line="276" w:lineRule="auto"/>
        <w:rPr>
          <w:rFonts w:cs="Arial"/>
          <w:i/>
        </w:rPr>
      </w:pPr>
      <w:r>
        <w:rPr>
          <w:rFonts w:cs="Arial"/>
          <w:i/>
          <w:highlight w:val="yellow"/>
        </w:rPr>
        <w:t>This template from MCDEM’s Recovery Toolkit aims</w:t>
      </w:r>
      <w:r w:rsidRPr="00210F0F">
        <w:rPr>
          <w:rFonts w:cs="Arial"/>
          <w:i/>
          <w:highlight w:val="yellow"/>
        </w:rPr>
        <w:t xml:space="preserve"> to help CDEM Groups and local authorities prepare and support </w:t>
      </w:r>
      <w:r>
        <w:rPr>
          <w:rFonts w:cs="Arial"/>
          <w:i/>
          <w:highlight w:val="yellow"/>
        </w:rPr>
        <w:t>their</w:t>
      </w:r>
      <w:r w:rsidRPr="00210F0F">
        <w:rPr>
          <w:rFonts w:cs="Arial"/>
          <w:i/>
          <w:highlight w:val="yellow"/>
        </w:rPr>
        <w:t xml:space="preserve"> communities to recover after an emergency, meet </w:t>
      </w:r>
      <w:r>
        <w:rPr>
          <w:rFonts w:cs="Arial"/>
          <w:i/>
          <w:highlight w:val="yellow"/>
        </w:rPr>
        <w:t>their</w:t>
      </w:r>
      <w:r w:rsidRPr="00210F0F">
        <w:rPr>
          <w:rFonts w:cs="Arial"/>
          <w:i/>
          <w:highlight w:val="yellow"/>
        </w:rPr>
        <w:t xml:space="preserve"> legislative duties and elevate recovery preparedness across New Zealand. Please email </w:t>
      </w:r>
      <w:hyperlink r:id="rId8" w:history="1">
        <w:r w:rsidRPr="00210F0F">
          <w:rPr>
            <w:rStyle w:val="Hyperlink"/>
            <w:rFonts w:cs="Arial"/>
            <w:i/>
            <w:highlight w:val="yellow"/>
          </w:rPr>
          <w:t>MCDEMRecovery@dpmc.govt.nz</w:t>
        </w:r>
      </w:hyperlink>
      <w:r w:rsidRPr="00210F0F">
        <w:rPr>
          <w:rFonts w:cs="Arial"/>
          <w:i/>
          <w:highlight w:val="yellow"/>
        </w:rPr>
        <w:t xml:space="preserve"> with </w:t>
      </w:r>
      <w:r>
        <w:rPr>
          <w:rFonts w:cs="Arial"/>
          <w:i/>
          <w:highlight w:val="yellow"/>
        </w:rPr>
        <w:t>your</w:t>
      </w:r>
      <w:r w:rsidRPr="00210F0F">
        <w:rPr>
          <w:rFonts w:cs="Arial"/>
          <w:i/>
          <w:highlight w:val="yellow"/>
        </w:rPr>
        <w:t xml:space="preserve"> feedback and suggestions.</w:t>
      </w:r>
    </w:p>
    <w:p w14:paraId="1AC9BA52" w14:textId="368F7777" w:rsidR="00EF62C3" w:rsidRDefault="005560FD" w:rsidP="005560FD">
      <w:pPr>
        <w:pStyle w:val="highlighty"/>
        <w:rPr>
          <w:highlight w:val="yellow"/>
        </w:rPr>
      </w:pPr>
      <w:r w:rsidRPr="00A8730E">
        <w:rPr>
          <w:highlight w:val="yellow"/>
        </w:rPr>
        <w:t xml:space="preserve">Powers used during a transition period must be reported to </w:t>
      </w:r>
      <w:r w:rsidR="004C4596" w:rsidRPr="00A8730E">
        <w:rPr>
          <w:highlight w:val="yellow"/>
        </w:rPr>
        <w:t xml:space="preserve">the Director CDEM and copied to the </w:t>
      </w:r>
      <w:r w:rsidR="002F40CB" w:rsidRPr="00A8730E">
        <w:rPr>
          <w:highlight w:val="yellow"/>
        </w:rPr>
        <w:t>CDEM</w:t>
      </w:r>
      <w:r w:rsidR="004C4596" w:rsidRPr="00A8730E">
        <w:rPr>
          <w:highlight w:val="yellow"/>
        </w:rPr>
        <w:t xml:space="preserve"> Group</w:t>
      </w:r>
      <w:r w:rsidRPr="00A8730E">
        <w:rPr>
          <w:highlight w:val="yellow"/>
        </w:rPr>
        <w:t xml:space="preserve">. A </w:t>
      </w:r>
      <w:r w:rsidR="008315F4" w:rsidRPr="00A8730E">
        <w:rPr>
          <w:highlight w:val="yellow"/>
        </w:rPr>
        <w:t xml:space="preserve">regularly updated </w:t>
      </w:r>
      <w:r w:rsidRPr="00A8730E">
        <w:rPr>
          <w:highlight w:val="yellow"/>
        </w:rPr>
        <w:t xml:space="preserve">document (eg weekly) </w:t>
      </w:r>
      <w:r w:rsidR="008315F4" w:rsidRPr="00A8730E">
        <w:rPr>
          <w:highlight w:val="yellow"/>
        </w:rPr>
        <w:t>will be helpful for reporting</w:t>
      </w:r>
      <w:r w:rsidR="002F40CB" w:rsidRPr="00A8730E">
        <w:rPr>
          <w:highlight w:val="yellow"/>
        </w:rPr>
        <w:t xml:space="preserve">. </w:t>
      </w:r>
      <w:r w:rsidRPr="00A8730E">
        <w:rPr>
          <w:highlight w:val="yellow"/>
        </w:rPr>
        <w:t xml:space="preserve">See </w:t>
      </w:r>
      <w:hyperlink r:id="rId9" w:history="1">
        <w:r w:rsidRPr="00A8730E">
          <w:rPr>
            <w:rStyle w:val="Hyperlink"/>
            <w:highlight w:val="yellow"/>
          </w:rPr>
          <w:t>Advice on recording powers used during a transition period</w:t>
        </w:r>
      </w:hyperlink>
      <w:r w:rsidRPr="00A8730E">
        <w:rPr>
          <w:highlight w:val="yellow"/>
        </w:rPr>
        <w:t xml:space="preserve"> for more information. </w:t>
      </w:r>
    </w:p>
    <w:tbl>
      <w:tblPr>
        <w:tblStyle w:val="TableGrid"/>
        <w:tblW w:w="5000" w:type="pct"/>
        <w:tblLook w:val="04A0" w:firstRow="1" w:lastRow="0" w:firstColumn="1" w:lastColumn="0" w:noHBand="0" w:noVBand="1"/>
      </w:tblPr>
      <w:tblGrid>
        <w:gridCol w:w="1999"/>
        <w:gridCol w:w="1233"/>
        <w:gridCol w:w="905"/>
        <w:gridCol w:w="1183"/>
        <w:gridCol w:w="3889"/>
        <w:gridCol w:w="1526"/>
        <w:gridCol w:w="2002"/>
        <w:gridCol w:w="2035"/>
        <w:gridCol w:w="15"/>
      </w:tblGrid>
      <w:tr w:rsidR="00A8730E" w:rsidRPr="00EF62C3" w14:paraId="1B24621F" w14:textId="77777777" w:rsidTr="004664A0">
        <w:trPr>
          <w:tblHeader/>
        </w:trPr>
        <w:tc>
          <w:tcPr>
            <w:tcW w:w="3114" w:type="pct"/>
            <w:gridSpan w:val="5"/>
            <w:shd w:val="clear" w:color="auto" w:fill="7F7F7F" w:themeFill="text1" w:themeFillTint="80"/>
          </w:tcPr>
          <w:p w14:paraId="70CFABDA" w14:textId="6559A58D" w:rsidR="00A8730E" w:rsidRPr="00D053CA" w:rsidRDefault="00A8730E" w:rsidP="00EF7A61">
            <w:pPr>
              <w:pStyle w:val="Tableheading"/>
              <w:rPr>
                <w:color w:val="FFFFFF" w:themeColor="background1"/>
                <w:szCs w:val="32"/>
              </w:rPr>
            </w:pPr>
            <w:r w:rsidRPr="00D053CA">
              <w:rPr>
                <w:rFonts w:cs="Arial"/>
                <w:sz w:val="22"/>
                <w:szCs w:val="22"/>
              </w:rPr>
              <w:t>Reporting</w:t>
            </w:r>
            <w:r w:rsidRPr="00D053CA">
              <w:rPr>
                <w:color w:val="FFFFFF" w:themeColor="background1"/>
                <w:sz w:val="22"/>
                <w:szCs w:val="32"/>
              </w:rPr>
              <w:t xml:space="preserve"> requirements – explanation of powers used </w:t>
            </w:r>
          </w:p>
        </w:tc>
        <w:tc>
          <w:tcPr>
            <w:tcW w:w="1886" w:type="pct"/>
            <w:gridSpan w:val="4"/>
            <w:shd w:val="clear" w:color="auto" w:fill="7F7F7F" w:themeFill="text1" w:themeFillTint="80"/>
          </w:tcPr>
          <w:p w14:paraId="131B58A5" w14:textId="75FC72DE" w:rsidR="00A8730E" w:rsidRPr="00D053CA" w:rsidRDefault="00A8730E" w:rsidP="00EF7A61">
            <w:pPr>
              <w:pStyle w:val="Tableheading"/>
              <w:rPr>
                <w:color w:val="FFFFFF" w:themeColor="background1"/>
                <w:sz w:val="22"/>
                <w:szCs w:val="32"/>
              </w:rPr>
            </w:pPr>
            <w:r w:rsidRPr="00D053CA">
              <w:rPr>
                <w:color w:val="FFFFFF" w:themeColor="background1"/>
                <w:sz w:val="22"/>
                <w:szCs w:val="32"/>
              </w:rPr>
              <w:t>Factors considered by the Recovery Manager for tests of exercise of powers</w:t>
            </w:r>
          </w:p>
        </w:tc>
      </w:tr>
      <w:tr w:rsidR="004664A0" w:rsidRPr="00EF62C3" w14:paraId="202D3D02" w14:textId="77777777" w:rsidTr="004664A0">
        <w:trPr>
          <w:tblHeader/>
        </w:trPr>
        <w:tc>
          <w:tcPr>
            <w:tcW w:w="676" w:type="pct"/>
          </w:tcPr>
          <w:p w14:paraId="5DD5113B" w14:textId="470E506E" w:rsidR="00A8730E" w:rsidRPr="00AD6FF8" w:rsidRDefault="00A8730E" w:rsidP="004664A0">
            <w:pPr>
              <w:pStyle w:val="Tableheading"/>
              <w:rPr>
                <w:rFonts w:cs="Arial"/>
                <w:color w:val="auto"/>
                <w:sz w:val="22"/>
                <w:szCs w:val="22"/>
              </w:rPr>
            </w:pPr>
            <w:r w:rsidRPr="00AD6FF8">
              <w:rPr>
                <w:rFonts w:cs="Arial"/>
                <w:color w:val="auto"/>
                <w:sz w:val="22"/>
                <w:szCs w:val="22"/>
              </w:rPr>
              <w:t xml:space="preserve">Power used </w:t>
            </w:r>
            <w:r w:rsidRPr="00AD6FF8">
              <w:rPr>
                <w:rFonts w:cs="Arial"/>
                <w:b w:val="0"/>
                <w:color w:val="auto"/>
                <w:sz w:val="22"/>
                <w:szCs w:val="22"/>
              </w:rPr>
              <w:t xml:space="preserve">(section of the </w:t>
            </w:r>
            <w:r w:rsidR="004664A0">
              <w:rPr>
                <w:rFonts w:cs="Arial"/>
                <w:b w:val="0"/>
                <w:color w:val="auto"/>
                <w:sz w:val="22"/>
                <w:szCs w:val="22"/>
              </w:rPr>
              <w:t xml:space="preserve">CDEM </w:t>
            </w:r>
            <w:r w:rsidRPr="00AD6FF8">
              <w:rPr>
                <w:rFonts w:cs="Arial"/>
                <w:b w:val="0"/>
                <w:color w:val="auto"/>
                <w:sz w:val="22"/>
                <w:szCs w:val="22"/>
              </w:rPr>
              <w:t>Act and description of power)</w:t>
            </w:r>
          </w:p>
        </w:tc>
        <w:tc>
          <w:tcPr>
            <w:tcW w:w="417" w:type="pct"/>
          </w:tcPr>
          <w:p w14:paraId="402BF9BC" w14:textId="77777777" w:rsidR="00A8730E" w:rsidRPr="00AD6FF8" w:rsidRDefault="00A8730E" w:rsidP="00AD6FF8">
            <w:pPr>
              <w:pStyle w:val="Tableheading"/>
              <w:rPr>
                <w:rFonts w:cs="Arial"/>
                <w:color w:val="auto"/>
                <w:sz w:val="22"/>
                <w:szCs w:val="22"/>
              </w:rPr>
            </w:pPr>
            <w:r w:rsidRPr="00AD6FF8">
              <w:rPr>
                <w:rFonts w:cs="Arial"/>
                <w:color w:val="auto"/>
                <w:sz w:val="22"/>
                <w:szCs w:val="22"/>
              </w:rPr>
              <w:t>Number of</w:t>
            </w:r>
          </w:p>
          <w:p w14:paraId="5202F9B2" w14:textId="7218822D" w:rsidR="00A8730E" w:rsidRPr="00AD6FF8" w:rsidRDefault="00A8730E" w:rsidP="00AD6FF8">
            <w:pPr>
              <w:pStyle w:val="Tableheading"/>
              <w:rPr>
                <w:rFonts w:cs="Arial"/>
                <w:color w:val="auto"/>
                <w:sz w:val="22"/>
                <w:szCs w:val="22"/>
              </w:rPr>
            </w:pPr>
            <w:r w:rsidRPr="00AD6FF8">
              <w:rPr>
                <w:rFonts w:cs="Arial"/>
                <w:color w:val="auto"/>
                <w:sz w:val="22"/>
                <w:szCs w:val="22"/>
              </w:rPr>
              <w:t>times power exercised</w:t>
            </w:r>
          </w:p>
        </w:tc>
        <w:tc>
          <w:tcPr>
            <w:tcW w:w="306" w:type="pct"/>
          </w:tcPr>
          <w:p w14:paraId="573205C4" w14:textId="3A656DF2" w:rsidR="00A8730E" w:rsidRPr="00AD6FF8" w:rsidRDefault="00A8730E" w:rsidP="00AD6FF8">
            <w:pPr>
              <w:pStyle w:val="Tableheading"/>
              <w:rPr>
                <w:rFonts w:cs="Arial"/>
                <w:color w:val="auto"/>
                <w:sz w:val="22"/>
                <w:szCs w:val="22"/>
                <w:highlight w:val="yellow"/>
              </w:rPr>
            </w:pPr>
            <w:r w:rsidRPr="00AD6FF8">
              <w:rPr>
                <w:rFonts w:cs="Arial"/>
                <w:color w:val="auto"/>
                <w:sz w:val="22"/>
                <w:szCs w:val="22"/>
              </w:rPr>
              <w:t xml:space="preserve">Date </w:t>
            </w:r>
          </w:p>
        </w:tc>
        <w:tc>
          <w:tcPr>
            <w:tcW w:w="400" w:type="pct"/>
          </w:tcPr>
          <w:p w14:paraId="351423D2" w14:textId="45D15B84" w:rsidR="00A8730E" w:rsidRPr="00AD6FF8" w:rsidRDefault="00A8730E" w:rsidP="00AD6FF8">
            <w:pPr>
              <w:pStyle w:val="Tableheading"/>
              <w:rPr>
                <w:rFonts w:cs="Arial"/>
                <w:color w:val="auto"/>
                <w:sz w:val="22"/>
                <w:szCs w:val="22"/>
                <w:highlight w:val="yellow"/>
              </w:rPr>
            </w:pPr>
            <w:r w:rsidRPr="00AD6FF8">
              <w:rPr>
                <w:rFonts w:cs="Arial"/>
                <w:color w:val="auto"/>
                <w:sz w:val="22"/>
                <w:szCs w:val="22"/>
              </w:rPr>
              <w:t xml:space="preserve">By whom </w:t>
            </w:r>
            <w:r w:rsidRPr="00AD6FF8">
              <w:rPr>
                <w:rFonts w:cs="Arial"/>
                <w:b w:val="0"/>
                <w:color w:val="auto"/>
                <w:sz w:val="22"/>
                <w:szCs w:val="22"/>
              </w:rPr>
              <w:t>(name</w:t>
            </w:r>
            <w:r w:rsidR="000636DE">
              <w:rPr>
                <w:rFonts w:cs="Arial"/>
                <w:b w:val="0"/>
                <w:color w:val="auto"/>
                <w:sz w:val="22"/>
                <w:szCs w:val="22"/>
              </w:rPr>
              <w:t>, title, Territorial Authority)</w:t>
            </w:r>
          </w:p>
        </w:tc>
        <w:tc>
          <w:tcPr>
            <w:tcW w:w="1315" w:type="pct"/>
          </w:tcPr>
          <w:p w14:paraId="61D7388B" w14:textId="77777777" w:rsidR="00A8730E" w:rsidRPr="00AD6FF8" w:rsidRDefault="00A8730E" w:rsidP="00A8730E">
            <w:pPr>
              <w:pStyle w:val="Tableheading"/>
              <w:rPr>
                <w:rFonts w:cs="Arial"/>
                <w:color w:val="auto"/>
                <w:sz w:val="22"/>
                <w:szCs w:val="22"/>
              </w:rPr>
            </w:pPr>
            <w:r w:rsidRPr="00AD6FF8">
              <w:rPr>
                <w:rFonts w:cs="Arial"/>
                <w:color w:val="auto"/>
                <w:sz w:val="22"/>
                <w:szCs w:val="22"/>
              </w:rPr>
              <w:t>Reason for use</w:t>
            </w:r>
          </w:p>
          <w:p w14:paraId="38A41C5C" w14:textId="77777777" w:rsidR="00A8730E" w:rsidRPr="00AD6FF8" w:rsidRDefault="00A8730E" w:rsidP="00AD6FF8">
            <w:pPr>
              <w:pStyle w:val="Tableheading"/>
              <w:rPr>
                <w:rFonts w:cs="Arial"/>
                <w:color w:val="auto"/>
              </w:rPr>
            </w:pPr>
          </w:p>
        </w:tc>
        <w:tc>
          <w:tcPr>
            <w:tcW w:w="516" w:type="pct"/>
          </w:tcPr>
          <w:p w14:paraId="31CDD8E6" w14:textId="053CA39B" w:rsidR="00A8730E" w:rsidRPr="00AD6FF8" w:rsidRDefault="00A8730E" w:rsidP="00AD6FF8">
            <w:pPr>
              <w:pStyle w:val="Tableheading"/>
              <w:rPr>
                <w:rFonts w:cs="Arial"/>
                <w:color w:val="auto"/>
                <w:sz w:val="22"/>
                <w:szCs w:val="22"/>
              </w:rPr>
            </w:pPr>
            <w:r w:rsidRPr="00AD6FF8">
              <w:rPr>
                <w:rFonts w:cs="Arial"/>
                <w:color w:val="auto"/>
                <w:sz w:val="22"/>
                <w:szCs w:val="22"/>
              </w:rPr>
              <w:t>In the public interest</w:t>
            </w:r>
          </w:p>
        </w:tc>
        <w:tc>
          <w:tcPr>
            <w:tcW w:w="677" w:type="pct"/>
          </w:tcPr>
          <w:p w14:paraId="4106CB91" w14:textId="63AE04B4" w:rsidR="00A8730E" w:rsidRPr="00AD6FF8" w:rsidRDefault="00A8730E" w:rsidP="00AD6FF8">
            <w:pPr>
              <w:pStyle w:val="Tableheading"/>
              <w:rPr>
                <w:rFonts w:cs="Arial"/>
                <w:color w:val="auto"/>
                <w:sz w:val="22"/>
                <w:szCs w:val="22"/>
              </w:rPr>
            </w:pPr>
            <w:r w:rsidRPr="00AD6FF8">
              <w:rPr>
                <w:rFonts w:cs="Arial"/>
                <w:color w:val="auto"/>
                <w:sz w:val="22"/>
                <w:szCs w:val="22"/>
              </w:rPr>
              <w:t>Necessary or desirable to ensure a timely and effective recovery</w:t>
            </w:r>
          </w:p>
        </w:tc>
        <w:tc>
          <w:tcPr>
            <w:tcW w:w="693" w:type="pct"/>
            <w:gridSpan w:val="2"/>
          </w:tcPr>
          <w:p w14:paraId="3CBC559D" w14:textId="5566A45B" w:rsidR="00A8730E" w:rsidRPr="00AD6FF8" w:rsidRDefault="00A8730E" w:rsidP="00AD6FF8">
            <w:pPr>
              <w:pStyle w:val="Tableheading"/>
              <w:rPr>
                <w:rFonts w:cs="Arial"/>
                <w:color w:val="auto"/>
                <w:sz w:val="22"/>
                <w:szCs w:val="22"/>
                <w:highlight w:val="yellow"/>
              </w:rPr>
            </w:pPr>
            <w:r w:rsidRPr="00AD6FF8">
              <w:rPr>
                <w:rFonts w:cs="Arial"/>
                <w:color w:val="auto"/>
                <w:sz w:val="22"/>
                <w:szCs w:val="22"/>
              </w:rPr>
              <w:t>Proportionate in the circumstances</w:t>
            </w:r>
          </w:p>
        </w:tc>
      </w:tr>
      <w:tr w:rsidR="004664A0" w14:paraId="4C3EB74D" w14:textId="77777777" w:rsidTr="004664A0">
        <w:tc>
          <w:tcPr>
            <w:tcW w:w="676" w:type="pct"/>
          </w:tcPr>
          <w:p w14:paraId="028A2875" w14:textId="5745FDB7" w:rsidR="00A8730E" w:rsidRPr="00AD6FF8" w:rsidRDefault="00A8730E" w:rsidP="0089318E">
            <w:pPr>
              <w:pStyle w:val="Tablenormal0"/>
              <w:rPr>
                <w:rFonts w:cs="Arial"/>
                <w:sz w:val="22"/>
                <w:szCs w:val="22"/>
                <w:highlight w:val="yellow"/>
              </w:rPr>
            </w:pPr>
            <w:r>
              <w:rPr>
                <w:rFonts w:cs="Arial"/>
                <w:sz w:val="22"/>
                <w:szCs w:val="22"/>
                <w:highlight w:val="yellow"/>
              </w:rPr>
              <w:t>S</w:t>
            </w:r>
            <w:r w:rsidRPr="0089318E">
              <w:rPr>
                <w:rFonts w:cs="Arial"/>
                <w:sz w:val="22"/>
                <w:szCs w:val="22"/>
                <w:highlight w:val="yellow"/>
              </w:rPr>
              <w:t xml:space="preserve">ection 94K: power to exclude any persons or vehicles from any premises or place for the preservation of human life during the flooding event. </w:t>
            </w:r>
          </w:p>
        </w:tc>
        <w:tc>
          <w:tcPr>
            <w:tcW w:w="417" w:type="pct"/>
          </w:tcPr>
          <w:p w14:paraId="093EC2DC" w14:textId="05B8B033" w:rsidR="00A8730E" w:rsidRPr="00AD6FF8" w:rsidRDefault="00A8730E" w:rsidP="0089318E">
            <w:pPr>
              <w:pStyle w:val="Tablenormal0"/>
              <w:rPr>
                <w:rFonts w:cs="Arial"/>
                <w:sz w:val="22"/>
                <w:szCs w:val="22"/>
                <w:highlight w:val="yellow"/>
              </w:rPr>
            </w:pPr>
            <w:r>
              <w:rPr>
                <w:sz w:val="22"/>
                <w:szCs w:val="22"/>
                <w:highlight w:val="yellow"/>
              </w:rPr>
              <w:t>1</w:t>
            </w:r>
          </w:p>
        </w:tc>
        <w:tc>
          <w:tcPr>
            <w:tcW w:w="306" w:type="pct"/>
          </w:tcPr>
          <w:p w14:paraId="1C335BA6" w14:textId="77777777" w:rsidR="00A8730E" w:rsidRPr="00AD6FF8" w:rsidRDefault="00A8730E" w:rsidP="0089318E">
            <w:pPr>
              <w:pStyle w:val="Tablenormal0"/>
              <w:rPr>
                <w:rFonts w:cs="Arial"/>
                <w:sz w:val="22"/>
                <w:szCs w:val="22"/>
                <w:highlight w:val="yellow"/>
              </w:rPr>
            </w:pPr>
            <w:r w:rsidRPr="00AD6FF8">
              <w:rPr>
                <w:rFonts w:cs="Arial"/>
                <w:sz w:val="22"/>
                <w:szCs w:val="22"/>
                <w:highlight w:val="yellow"/>
              </w:rPr>
              <w:t>1 March 2018</w:t>
            </w:r>
          </w:p>
          <w:p w14:paraId="47C627CC" w14:textId="63F369E0" w:rsidR="00A8730E" w:rsidRPr="00AD6FF8" w:rsidRDefault="00A8730E" w:rsidP="0089318E">
            <w:pPr>
              <w:pStyle w:val="Tablenormal0"/>
              <w:rPr>
                <w:rFonts w:cs="Arial"/>
                <w:sz w:val="22"/>
                <w:szCs w:val="22"/>
                <w:highlight w:val="yellow"/>
              </w:rPr>
            </w:pPr>
          </w:p>
        </w:tc>
        <w:tc>
          <w:tcPr>
            <w:tcW w:w="400" w:type="pct"/>
          </w:tcPr>
          <w:p w14:paraId="17F19E96" w14:textId="194C4888" w:rsidR="00A8730E" w:rsidRPr="00AD6FF8" w:rsidRDefault="00A8730E" w:rsidP="0089318E">
            <w:pPr>
              <w:pStyle w:val="Tablenormal0"/>
              <w:rPr>
                <w:rFonts w:cs="Arial"/>
                <w:sz w:val="22"/>
                <w:szCs w:val="22"/>
                <w:highlight w:val="yellow"/>
              </w:rPr>
            </w:pPr>
            <w:r w:rsidRPr="00230931">
              <w:rPr>
                <w:highlight w:val="yellow"/>
              </w:rPr>
              <w:t>John Smith, Local Recovery Manager</w:t>
            </w:r>
          </w:p>
        </w:tc>
        <w:tc>
          <w:tcPr>
            <w:tcW w:w="1315" w:type="pct"/>
          </w:tcPr>
          <w:p w14:paraId="69ECD801" w14:textId="627E3486" w:rsidR="00A8730E" w:rsidRPr="00AD6FF8" w:rsidRDefault="00A518D9" w:rsidP="0089318E">
            <w:pPr>
              <w:pStyle w:val="Tablenormal0"/>
              <w:rPr>
                <w:rFonts w:cs="Arial"/>
                <w:highlight w:val="yellow"/>
              </w:rPr>
            </w:pPr>
            <w:r>
              <w:rPr>
                <w:rFonts w:cs="Arial"/>
                <w:highlight w:val="yellow"/>
              </w:rPr>
              <w:t>To protect public safety while buildings were being assessed</w:t>
            </w:r>
          </w:p>
        </w:tc>
        <w:tc>
          <w:tcPr>
            <w:tcW w:w="516" w:type="pct"/>
          </w:tcPr>
          <w:p w14:paraId="3F86C854" w14:textId="77777777" w:rsidR="00A8730E" w:rsidRPr="00AD6FF8" w:rsidRDefault="00A8730E" w:rsidP="0089318E">
            <w:pPr>
              <w:pStyle w:val="Tablenormal0"/>
              <w:rPr>
                <w:rFonts w:cs="Arial"/>
                <w:sz w:val="22"/>
                <w:szCs w:val="22"/>
                <w:highlight w:val="yellow"/>
              </w:rPr>
            </w:pPr>
          </w:p>
        </w:tc>
        <w:tc>
          <w:tcPr>
            <w:tcW w:w="677" w:type="pct"/>
          </w:tcPr>
          <w:p w14:paraId="30C0094C" w14:textId="6A1B53C3" w:rsidR="00A8730E" w:rsidRPr="00AD6FF8" w:rsidRDefault="00A8730E" w:rsidP="0089318E">
            <w:pPr>
              <w:pStyle w:val="Tablenormal0"/>
              <w:rPr>
                <w:rFonts w:cs="Arial"/>
                <w:sz w:val="22"/>
                <w:szCs w:val="22"/>
                <w:highlight w:val="yellow"/>
              </w:rPr>
            </w:pPr>
          </w:p>
        </w:tc>
        <w:tc>
          <w:tcPr>
            <w:tcW w:w="693" w:type="pct"/>
            <w:gridSpan w:val="2"/>
          </w:tcPr>
          <w:p w14:paraId="523166B9" w14:textId="5B84CD47" w:rsidR="00A8730E" w:rsidRPr="00AD6FF8" w:rsidRDefault="00A8730E" w:rsidP="0089318E">
            <w:pPr>
              <w:pStyle w:val="Tablenormal0"/>
              <w:rPr>
                <w:rFonts w:cs="Arial"/>
                <w:sz w:val="22"/>
                <w:szCs w:val="22"/>
                <w:highlight w:val="yellow"/>
              </w:rPr>
            </w:pPr>
          </w:p>
        </w:tc>
      </w:tr>
      <w:tr w:rsidR="004664A0" w14:paraId="7FD6FB4A" w14:textId="77777777" w:rsidTr="004664A0">
        <w:tc>
          <w:tcPr>
            <w:tcW w:w="676" w:type="pct"/>
          </w:tcPr>
          <w:p w14:paraId="637A8EF7" w14:textId="740B4B57" w:rsidR="00A8730E" w:rsidRDefault="00A8730E" w:rsidP="0089318E">
            <w:pPr>
              <w:pStyle w:val="Tablenormal0"/>
              <w:rPr>
                <w:rFonts w:cs="Arial"/>
                <w:highlight w:val="yellow"/>
              </w:rPr>
            </w:pPr>
            <w:r>
              <w:rPr>
                <w:rFonts w:cs="Arial"/>
                <w:sz w:val="22"/>
                <w:szCs w:val="22"/>
                <w:highlight w:val="yellow"/>
              </w:rPr>
              <w:t>S</w:t>
            </w:r>
            <w:r w:rsidRPr="0089318E">
              <w:rPr>
                <w:rFonts w:cs="Arial"/>
                <w:sz w:val="22"/>
                <w:szCs w:val="22"/>
                <w:highlight w:val="yellow"/>
              </w:rPr>
              <w:t xml:space="preserve">ection 94H(a)(iii) to examine buildings for the risk of structural collapse. </w:t>
            </w:r>
          </w:p>
        </w:tc>
        <w:tc>
          <w:tcPr>
            <w:tcW w:w="417" w:type="pct"/>
          </w:tcPr>
          <w:p w14:paraId="6FCB7FB5" w14:textId="6B014C69" w:rsidR="00A8730E" w:rsidRDefault="00A8730E" w:rsidP="0089318E">
            <w:pPr>
              <w:pStyle w:val="Tablenormal0"/>
              <w:rPr>
                <w:highlight w:val="yellow"/>
              </w:rPr>
            </w:pPr>
            <w:r>
              <w:rPr>
                <w:highlight w:val="yellow"/>
              </w:rPr>
              <w:t>5</w:t>
            </w:r>
          </w:p>
        </w:tc>
        <w:tc>
          <w:tcPr>
            <w:tcW w:w="306" w:type="pct"/>
          </w:tcPr>
          <w:p w14:paraId="6CEF24C2" w14:textId="011279A9" w:rsidR="00A8730E" w:rsidRPr="00AD6FF8" w:rsidRDefault="00A8730E" w:rsidP="008A0CBD">
            <w:pPr>
              <w:pStyle w:val="Tablenormal0"/>
              <w:rPr>
                <w:rFonts w:cs="Arial"/>
                <w:highlight w:val="yellow"/>
              </w:rPr>
            </w:pPr>
            <w:r>
              <w:rPr>
                <w:rFonts w:cs="Arial"/>
                <w:highlight w:val="yellow"/>
              </w:rPr>
              <w:t>Date –</w:t>
            </w:r>
          </w:p>
        </w:tc>
        <w:tc>
          <w:tcPr>
            <w:tcW w:w="400" w:type="pct"/>
          </w:tcPr>
          <w:p w14:paraId="2D6216CC" w14:textId="4D66E482" w:rsidR="00A8730E" w:rsidRPr="00230931" w:rsidRDefault="00A8730E" w:rsidP="0089318E">
            <w:pPr>
              <w:pStyle w:val="Tablenormal0"/>
              <w:rPr>
                <w:highlight w:val="yellow"/>
              </w:rPr>
            </w:pPr>
            <w:r w:rsidRPr="00230931">
              <w:rPr>
                <w:highlight w:val="yellow"/>
              </w:rPr>
              <w:t>John Smith, Local Recovery Manager</w:t>
            </w:r>
          </w:p>
        </w:tc>
        <w:tc>
          <w:tcPr>
            <w:tcW w:w="1315" w:type="pct"/>
          </w:tcPr>
          <w:p w14:paraId="11374FA3" w14:textId="77777777" w:rsidR="00A8730E" w:rsidRPr="00AD6FF8" w:rsidRDefault="00A8730E" w:rsidP="0089318E">
            <w:pPr>
              <w:pStyle w:val="Tablenormal0"/>
              <w:rPr>
                <w:rFonts w:cs="Arial"/>
                <w:highlight w:val="yellow"/>
              </w:rPr>
            </w:pPr>
          </w:p>
        </w:tc>
        <w:tc>
          <w:tcPr>
            <w:tcW w:w="516" w:type="pct"/>
          </w:tcPr>
          <w:p w14:paraId="5DF8908A" w14:textId="77777777" w:rsidR="00A8730E" w:rsidRPr="00AD6FF8" w:rsidRDefault="00A8730E" w:rsidP="0089318E">
            <w:pPr>
              <w:pStyle w:val="Tablenormal0"/>
              <w:rPr>
                <w:rFonts w:cs="Arial"/>
                <w:highlight w:val="yellow"/>
              </w:rPr>
            </w:pPr>
          </w:p>
        </w:tc>
        <w:tc>
          <w:tcPr>
            <w:tcW w:w="677" w:type="pct"/>
          </w:tcPr>
          <w:p w14:paraId="23CDEBE8" w14:textId="77777777" w:rsidR="00A8730E" w:rsidRPr="00AD6FF8" w:rsidRDefault="00A8730E" w:rsidP="0089318E">
            <w:pPr>
              <w:pStyle w:val="Tablenormal0"/>
              <w:rPr>
                <w:rFonts w:cs="Arial"/>
                <w:highlight w:val="yellow"/>
              </w:rPr>
            </w:pPr>
          </w:p>
        </w:tc>
        <w:tc>
          <w:tcPr>
            <w:tcW w:w="693" w:type="pct"/>
            <w:gridSpan w:val="2"/>
          </w:tcPr>
          <w:p w14:paraId="2DDFDABB" w14:textId="77777777" w:rsidR="00A8730E" w:rsidRPr="00AD6FF8" w:rsidRDefault="00A8730E" w:rsidP="0089318E">
            <w:pPr>
              <w:pStyle w:val="Tablenormal0"/>
              <w:rPr>
                <w:rFonts w:cs="Arial"/>
                <w:highlight w:val="yellow"/>
              </w:rPr>
            </w:pPr>
          </w:p>
        </w:tc>
      </w:tr>
      <w:tr w:rsidR="004664A0" w14:paraId="5BF804BE" w14:textId="77777777" w:rsidTr="004664A0">
        <w:trPr>
          <w:gridAfter w:val="1"/>
          <w:wAfter w:w="5" w:type="pct"/>
        </w:trPr>
        <w:tc>
          <w:tcPr>
            <w:tcW w:w="676" w:type="pct"/>
          </w:tcPr>
          <w:p w14:paraId="7C71EC46" w14:textId="451DB0B2" w:rsidR="000636DE" w:rsidRDefault="000636DE" w:rsidP="0089318E">
            <w:pPr>
              <w:pStyle w:val="Tablenormal0"/>
              <w:rPr>
                <w:rFonts w:cs="Arial"/>
                <w:highlight w:val="yellow"/>
              </w:rPr>
            </w:pPr>
            <w:r>
              <w:rPr>
                <w:rFonts w:cs="Arial"/>
                <w:sz w:val="22"/>
                <w:szCs w:val="22"/>
                <w:highlight w:val="yellow"/>
              </w:rPr>
              <w:lastRenderedPageBreak/>
              <w:t>S</w:t>
            </w:r>
            <w:r w:rsidRPr="0089318E">
              <w:rPr>
                <w:rFonts w:cs="Arial"/>
                <w:sz w:val="22"/>
                <w:szCs w:val="22"/>
                <w:highlight w:val="yellow"/>
              </w:rPr>
              <w:t>ection 94L</w:t>
            </w:r>
            <w:r>
              <w:rPr>
                <w:rFonts w:cs="Arial"/>
                <w:sz w:val="22"/>
                <w:szCs w:val="22"/>
                <w:highlight w:val="yellow"/>
              </w:rPr>
              <w:t xml:space="preserve">: </w:t>
            </w:r>
            <w:r w:rsidRPr="0089318E">
              <w:rPr>
                <w:rFonts w:cs="Arial"/>
                <w:sz w:val="22"/>
                <w:szCs w:val="22"/>
                <w:highlight w:val="yellow"/>
              </w:rPr>
              <w:t>power of entry, to enter flood affected buildings for the purposes of assessments under section 94(H)(a)(iii).</w:t>
            </w:r>
          </w:p>
        </w:tc>
        <w:tc>
          <w:tcPr>
            <w:tcW w:w="417" w:type="pct"/>
          </w:tcPr>
          <w:p w14:paraId="3982373C" w14:textId="3B8B57CC" w:rsidR="000636DE" w:rsidRDefault="000636DE" w:rsidP="0089318E">
            <w:pPr>
              <w:pStyle w:val="Tablenormal0"/>
              <w:rPr>
                <w:highlight w:val="yellow"/>
              </w:rPr>
            </w:pPr>
            <w:r>
              <w:rPr>
                <w:highlight w:val="yellow"/>
              </w:rPr>
              <w:t>3</w:t>
            </w:r>
          </w:p>
        </w:tc>
        <w:tc>
          <w:tcPr>
            <w:tcW w:w="306" w:type="pct"/>
          </w:tcPr>
          <w:p w14:paraId="538DD1BC" w14:textId="712B3639" w:rsidR="000636DE" w:rsidRDefault="000636DE" w:rsidP="0089318E">
            <w:pPr>
              <w:pStyle w:val="Tablenormal0"/>
              <w:rPr>
                <w:rFonts w:cs="Arial"/>
                <w:highlight w:val="yellow"/>
              </w:rPr>
            </w:pPr>
            <w:r>
              <w:rPr>
                <w:rFonts w:cs="Arial"/>
                <w:highlight w:val="yellow"/>
              </w:rPr>
              <w:t xml:space="preserve">Date – </w:t>
            </w:r>
          </w:p>
        </w:tc>
        <w:tc>
          <w:tcPr>
            <w:tcW w:w="400" w:type="pct"/>
          </w:tcPr>
          <w:p w14:paraId="02B40A71" w14:textId="4D612DC8" w:rsidR="000636DE" w:rsidRPr="00230931" w:rsidRDefault="000636DE" w:rsidP="0089318E">
            <w:pPr>
              <w:pStyle w:val="Tablenormal0"/>
              <w:rPr>
                <w:highlight w:val="yellow"/>
              </w:rPr>
            </w:pPr>
            <w:r w:rsidRPr="00230931">
              <w:rPr>
                <w:highlight w:val="yellow"/>
              </w:rPr>
              <w:t>John Smith, Local Recovery Manager</w:t>
            </w:r>
          </w:p>
        </w:tc>
        <w:tc>
          <w:tcPr>
            <w:tcW w:w="1315" w:type="pct"/>
          </w:tcPr>
          <w:p w14:paraId="439A30B1" w14:textId="77777777" w:rsidR="000636DE" w:rsidRPr="00AD6FF8" w:rsidRDefault="000636DE" w:rsidP="0089318E">
            <w:pPr>
              <w:pStyle w:val="Tablenormal0"/>
              <w:rPr>
                <w:rFonts w:cs="Arial"/>
                <w:highlight w:val="yellow"/>
              </w:rPr>
            </w:pPr>
          </w:p>
        </w:tc>
        <w:tc>
          <w:tcPr>
            <w:tcW w:w="516" w:type="pct"/>
          </w:tcPr>
          <w:p w14:paraId="5D46EE5A" w14:textId="77777777" w:rsidR="000636DE" w:rsidRPr="00AD6FF8" w:rsidRDefault="000636DE" w:rsidP="0089318E">
            <w:pPr>
              <w:pStyle w:val="Tablenormal0"/>
              <w:rPr>
                <w:rFonts w:cs="Arial"/>
                <w:highlight w:val="yellow"/>
              </w:rPr>
            </w:pPr>
          </w:p>
        </w:tc>
        <w:tc>
          <w:tcPr>
            <w:tcW w:w="677" w:type="pct"/>
          </w:tcPr>
          <w:p w14:paraId="0532D95A" w14:textId="77777777" w:rsidR="000636DE" w:rsidRPr="00AD6FF8" w:rsidRDefault="000636DE" w:rsidP="0089318E">
            <w:pPr>
              <w:pStyle w:val="Tablenormal0"/>
              <w:rPr>
                <w:rFonts w:cs="Arial"/>
                <w:highlight w:val="yellow"/>
              </w:rPr>
            </w:pPr>
          </w:p>
        </w:tc>
        <w:tc>
          <w:tcPr>
            <w:tcW w:w="688" w:type="pct"/>
          </w:tcPr>
          <w:p w14:paraId="0AC8FF55" w14:textId="77777777" w:rsidR="000636DE" w:rsidRPr="00AD6FF8" w:rsidRDefault="000636DE" w:rsidP="0089318E">
            <w:pPr>
              <w:pStyle w:val="Tablenormal0"/>
              <w:rPr>
                <w:rFonts w:cs="Arial"/>
                <w:highlight w:val="yellow"/>
              </w:rPr>
            </w:pPr>
          </w:p>
        </w:tc>
      </w:tr>
      <w:tr w:rsidR="004664A0" w14:paraId="3C1BC80A" w14:textId="77777777" w:rsidTr="004664A0">
        <w:trPr>
          <w:gridAfter w:val="1"/>
          <w:wAfter w:w="5" w:type="pct"/>
        </w:trPr>
        <w:tc>
          <w:tcPr>
            <w:tcW w:w="676" w:type="pct"/>
          </w:tcPr>
          <w:p w14:paraId="027273AE"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Section 94N</w:t>
            </w:r>
            <w:r>
              <w:rPr>
                <w:rFonts w:cs="Arial"/>
                <w:sz w:val="22"/>
                <w:szCs w:val="22"/>
                <w:highlight w:val="yellow"/>
              </w:rPr>
              <w:t>:</w:t>
            </w:r>
            <w:r w:rsidRPr="00AD6FF8">
              <w:rPr>
                <w:rFonts w:cs="Arial"/>
                <w:sz w:val="22"/>
                <w:szCs w:val="22"/>
                <w:highlight w:val="yellow"/>
              </w:rPr>
              <w:t xml:space="preserve"> power to require an engineering assessment.</w:t>
            </w:r>
          </w:p>
          <w:p w14:paraId="70542FB5" w14:textId="77777777" w:rsidR="000636DE" w:rsidRPr="00AD6FF8" w:rsidRDefault="000636DE" w:rsidP="0089318E">
            <w:pPr>
              <w:pStyle w:val="Tablenormal0"/>
              <w:rPr>
                <w:rFonts w:cs="Arial"/>
                <w:highlight w:val="yellow"/>
              </w:rPr>
            </w:pPr>
          </w:p>
        </w:tc>
        <w:tc>
          <w:tcPr>
            <w:tcW w:w="417" w:type="pct"/>
          </w:tcPr>
          <w:p w14:paraId="68B72DDC" w14:textId="7BCC824B" w:rsidR="000636DE" w:rsidRPr="00AD6FF8" w:rsidRDefault="000636DE" w:rsidP="0089318E">
            <w:pPr>
              <w:pStyle w:val="Tablenormal0"/>
              <w:rPr>
                <w:rFonts w:cs="Arial"/>
                <w:highlight w:val="yellow"/>
              </w:rPr>
            </w:pPr>
            <w:r w:rsidRPr="00AD6FF8">
              <w:rPr>
                <w:rFonts w:cs="Arial"/>
                <w:sz w:val="22"/>
                <w:szCs w:val="22"/>
                <w:highlight w:val="yellow"/>
              </w:rPr>
              <w:t>12</w:t>
            </w:r>
          </w:p>
        </w:tc>
        <w:tc>
          <w:tcPr>
            <w:tcW w:w="306" w:type="pct"/>
          </w:tcPr>
          <w:p w14:paraId="6FAF7E44"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1 March 2018</w:t>
            </w:r>
          </w:p>
          <w:p w14:paraId="56673B8B" w14:textId="77777777" w:rsidR="000636DE" w:rsidRPr="00AD6FF8" w:rsidRDefault="000636DE" w:rsidP="0089318E">
            <w:pPr>
              <w:pStyle w:val="Tablenormal0"/>
              <w:rPr>
                <w:rFonts w:cs="Arial"/>
                <w:highlight w:val="yellow"/>
              </w:rPr>
            </w:pPr>
          </w:p>
        </w:tc>
        <w:tc>
          <w:tcPr>
            <w:tcW w:w="400" w:type="pct"/>
          </w:tcPr>
          <w:p w14:paraId="51642F8B" w14:textId="095BBD8A" w:rsidR="000636DE" w:rsidRDefault="000636DE" w:rsidP="0089318E">
            <w:pPr>
              <w:pStyle w:val="Tablenormal0"/>
              <w:rPr>
                <w:rFonts w:cs="Arial"/>
                <w:highlight w:val="yellow"/>
              </w:rPr>
            </w:pPr>
            <w:r>
              <w:rPr>
                <w:rFonts w:cs="Arial"/>
                <w:sz w:val="22"/>
                <w:szCs w:val="22"/>
                <w:highlight w:val="yellow"/>
              </w:rPr>
              <w:t>Joan</w:t>
            </w:r>
            <w:r w:rsidRPr="00AD6FF8">
              <w:rPr>
                <w:rFonts w:cs="Arial"/>
                <w:sz w:val="22"/>
                <w:szCs w:val="22"/>
                <w:highlight w:val="yellow"/>
              </w:rPr>
              <w:t xml:space="preserve"> </w:t>
            </w:r>
            <w:r>
              <w:rPr>
                <w:rFonts w:cs="Arial"/>
                <w:sz w:val="22"/>
                <w:szCs w:val="22"/>
                <w:highlight w:val="yellow"/>
              </w:rPr>
              <w:t>Jones</w:t>
            </w:r>
            <w:r w:rsidRPr="00AD6FF8">
              <w:rPr>
                <w:rFonts w:cs="Arial"/>
                <w:sz w:val="22"/>
                <w:szCs w:val="22"/>
                <w:highlight w:val="yellow"/>
              </w:rPr>
              <w:t>, Building Control Manager, Coastal District Council, who the Local Recovery Manager delegated powers to under [</w:t>
            </w:r>
            <w:r w:rsidRPr="008A0CBD">
              <w:rPr>
                <w:rFonts w:cs="Arial"/>
                <w:sz w:val="22"/>
                <w:szCs w:val="22"/>
                <w:highlight w:val="yellow"/>
              </w:rPr>
              <w:t>xxx eg 30A(3)]</w:t>
            </w:r>
          </w:p>
        </w:tc>
        <w:tc>
          <w:tcPr>
            <w:tcW w:w="1315" w:type="pct"/>
          </w:tcPr>
          <w:p w14:paraId="3FA87BF2" w14:textId="77777777" w:rsidR="000636DE" w:rsidRPr="00AD6FF8" w:rsidRDefault="000636DE" w:rsidP="000636DE">
            <w:pPr>
              <w:pStyle w:val="Tablenormal0"/>
              <w:rPr>
                <w:rFonts w:cs="Arial"/>
                <w:sz w:val="22"/>
                <w:szCs w:val="22"/>
                <w:highlight w:val="yellow"/>
              </w:rPr>
            </w:pPr>
            <w:r w:rsidRPr="00AD6FF8">
              <w:rPr>
                <w:rFonts w:cs="Arial"/>
                <w:sz w:val="22"/>
                <w:szCs w:val="22"/>
                <w:highlight w:val="yellow"/>
              </w:rPr>
              <w:t>To determine if buildings have structural damage after the [specify] earthquake.</w:t>
            </w:r>
          </w:p>
          <w:p w14:paraId="086DBA48" w14:textId="77777777" w:rsidR="000636DE" w:rsidRPr="00AD6FF8" w:rsidRDefault="000636DE" w:rsidP="0089318E">
            <w:pPr>
              <w:pStyle w:val="Tablenormal0"/>
              <w:rPr>
                <w:rFonts w:cs="Arial"/>
                <w:highlight w:val="yellow"/>
              </w:rPr>
            </w:pPr>
          </w:p>
        </w:tc>
        <w:tc>
          <w:tcPr>
            <w:tcW w:w="516" w:type="pct"/>
          </w:tcPr>
          <w:p w14:paraId="4A90317E"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Important to check buildings are safe to occupy.</w:t>
            </w:r>
          </w:p>
          <w:p w14:paraId="651896D4" w14:textId="77777777" w:rsidR="000636DE" w:rsidRPr="00AD6FF8" w:rsidRDefault="000636DE" w:rsidP="0089318E">
            <w:pPr>
              <w:pStyle w:val="Tablenormal0"/>
              <w:rPr>
                <w:rFonts w:cs="Arial"/>
                <w:highlight w:val="yellow"/>
              </w:rPr>
            </w:pPr>
          </w:p>
        </w:tc>
        <w:tc>
          <w:tcPr>
            <w:tcW w:w="677" w:type="pct"/>
          </w:tcPr>
          <w:p w14:paraId="18C78F82"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Power is necessary as some building owners are not commissioning engineering assessments or providing them to the Recovery Manager.</w:t>
            </w:r>
          </w:p>
          <w:p w14:paraId="7B5F1F8C" w14:textId="77777777" w:rsidR="000636DE" w:rsidRPr="00AD6FF8" w:rsidRDefault="000636DE" w:rsidP="0089318E">
            <w:pPr>
              <w:pStyle w:val="Tablenormal0"/>
              <w:rPr>
                <w:rFonts w:cs="Arial"/>
                <w:highlight w:val="yellow"/>
              </w:rPr>
            </w:pPr>
          </w:p>
        </w:tc>
        <w:tc>
          <w:tcPr>
            <w:tcW w:w="688" w:type="pct"/>
          </w:tcPr>
          <w:p w14:paraId="0B4A4A94" w14:textId="56153850" w:rsidR="000636DE" w:rsidRPr="003B27C4" w:rsidRDefault="000636DE" w:rsidP="0089318E">
            <w:pPr>
              <w:pStyle w:val="Tablenormal0"/>
              <w:rPr>
                <w:rFonts w:cs="Arial"/>
                <w:sz w:val="22"/>
                <w:szCs w:val="22"/>
                <w:highlight w:val="yellow"/>
              </w:rPr>
            </w:pPr>
            <w:r w:rsidRPr="00AD6FF8">
              <w:rPr>
                <w:rFonts w:cs="Arial"/>
                <w:sz w:val="22"/>
                <w:szCs w:val="22"/>
                <w:highlight w:val="yellow"/>
              </w:rPr>
              <w:t>The exercise of the power is considered proportionate in the circumstance. An Engineering panel assessed which buildings might be at risk, and only those where there are significant concerns of risk of injury or to the safety of life are required to be assessed.</w:t>
            </w:r>
          </w:p>
        </w:tc>
      </w:tr>
      <w:tr w:rsidR="004664A0" w14:paraId="0FCF777D" w14:textId="77777777" w:rsidTr="004664A0">
        <w:trPr>
          <w:gridAfter w:val="1"/>
          <w:wAfter w:w="5" w:type="pct"/>
        </w:trPr>
        <w:tc>
          <w:tcPr>
            <w:tcW w:w="676" w:type="pct"/>
          </w:tcPr>
          <w:p w14:paraId="21F97228" w14:textId="219290B5" w:rsidR="000636DE" w:rsidRDefault="000636DE" w:rsidP="0089318E">
            <w:pPr>
              <w:pStyle w:val="Tablenormal0"/>
              <w:rPr>
                <w:highlight w:val="yellow"/>
              </w:rPr>
            </w:pPr>
          </w:p>
        </w:tc>
        <w:tc>
          <w:tcPr>
            <w:tcW w:w="417" w:type="pct"/>
          </w:tcPr>
          <w:p w14:paraId="799D394D" w14:textId="77777777" w:rsidR="000636DE" w:rsidRPr="00D150E6" w:rsidRDefault="000636DE" w:rsidP="0089318E">
            <w:pPr>
              <w:pStyle w:val="Tablenormal0"/>
              <w:rPr>
                <w:sz w:val="22"/>
                <w:szCs w:val="22"/>
                <w:highlight w:val="yellow"/>
              </w:rPr>
            </w:pPr>
          </w:p>
        </w:tc>
        <w:tc>
          <w:tcPr>
            <w:tcW w:w="306" w:type="pct"/>
          </w:tcPr>
          <w:p w14:paraId="1FAC37D6" w14:textId="77777777" w:rsidR="000636DE" w:rsidRPr="00D150E6" w:rsidRDefault="000636DE" w:rsidP="0089318E">
            <w:pPr>
              <w:pStyle w:val="Tablenormal0"/>
              <w:rPr>
                <w:sz w:val="22"/>
                <w:szCs w:val="22"/>
                <w:highlight w:val="yellow"/>
              </w:rPr>
            </w:pPr>
          </w:p>
        </w:tc>
        <w:tc>
          <w:tcPr>
            <w:tcW w:w="400" w:type="pct"/>
          </w:tcPr>
          <w:p w14:paraId="2CE6BFC5" w14:textId="0D0F5DEA" w:rsidR="000636DE" w:rsidRPr="00D150E6" w:rsidRDefault="000636DE" w:rsidP="0089318E">
            <w:pPr>
              <w:pStyle w:val="Tablenormal0"/>
              <w:rPr>
                <w:sz w:val="22"/>
                <w:szCs w:val="22"/>
                <w:highlight w:val="yellow"/>
              </w:rPr>
            </w:pPr>
          </w:p>
        </w:tc>
        <w:tc>
          <w:tcPr>
            <w:tcW w:w="1315" w:type="pct"/>
          </w:tcPr>
          <w:p w14:paraId="56E81DAF" w14:textId="77777777" w:rsidR="000636DE" w:rsidRPr="00D150E6" w:rsidRDefault="000636DE" w:rsidP="0089318E">
            <w:pPr>
              <w:pStyle w:val="Tablenormal0"/>
              <w:rPr>
                <w:highlight w:val="yellow"/>
              </w:rPr>
            </w:pPr>
          </w:p>
        </w:tc>
        <w:tc>
          <w:tcPr>
            <w:tcW w:w="516" w:type="pct"/>
          </w:tcPr>
          <w:p w14:paraId="5F0C557F" w14:textId="77777777" w:rsidR="000636DE" w:rsidRPr="00D150E6" w:rsidRDefault="000636DE" w:rsidP="0089318E">
            <w:pPr>
              <w:pStyle w:val="Tablenormal0"/>
              <w:rPr>
                <w:sz w:val="22"/>
                <w:szCs w:val="22"/>
                <w:highlight w:val="yellow"/>
              </w:rPr>
            </w:pPr>
          </w:p>
        </w:tc>
        <w:tc>
          <w:tcPr>
            <w:tcW w:w="677" w:type="pct"/>
          </w:tcPr>
          <w:p w14:paraId="7738DB79" w14:textId="77777777" w:rsidR="000636DE" w:rsidRPr="00D150E6" w:rsidRDefault="000636DE" w:rsidP="0089318E">
            <w:pPr>
              <w:pStyle w:val="Tablenormal0"/>
              <w:rPr>
                <w:sz w:val="22"/>
                <w:szCs w:val="22"/>
                <w:highlight w:val="yellow"/>
              </w:rPr>
            </w:pPr>
          </w:p>
        </w:tc>
        <w:tc>
          <w:tcPr>
            <w:tcW w:w="688" w:type="pct"/>
          </w:tcPr>
          <w:p w14:paraId="5B48B834" w14:textId="77777777" w:rsidR="000636DE" w:rsidRPr="00D150E6" w:rsidRDefault="000636DE" w:rsidP="0089318E">
            <w:pPr>
              <w:pStyle w:val="Tablenormal0"/>
              <w:rPr>
                <w:sz w:val="22"/>
                <w:szCs w:val="22"/>
                <w:highlight w:val="yellow"/>
              </w:rPr>
            </w:pPr>
          </w:p>
        </w:tc>
      </w:tr>
    </w:tbl>
    <w:p w14:paraId="35CBE514" w14:textId="3081FC91" w:rsidR="00AD4447" w:rsidRDefault="00AD4447" w:rsidP="007C205C">
      <w:pPr>
        <w:pStyle w:val="highlighty"/>
        <w:rPr>
          <w:highlight w:val="yellow"/>
        </w:rPr>
      </w:pPr>
    </w:p>
    <w:p w14:paraId="1F98A6AB" w14:textId="0DCBE03F" w:rsidR="007C4726" w:rsidRPr="005560FD" w:rsidRDefault="005560FD" w:rsidP="005560FD">
      <w:pPr>
        <w:pStyle w:val="highlighty"/>
        <w:rPr>
          <w:highlight w:val="yellow"/>
        </w:rPr>
      </w:pPr>
      <w:r>
        <w:rPr>
          <w:highlight w:val="yellow"/>
        </w:rPr>
        <w:t>Date</w:t>
      </w:r>
      <w:r w:rsidR="00D150E6">
        <w:rPr>
          <w:highlight w:val="yellow"/>
        </w:rPr>
        <w:t xml:space="preserve"> last</w:t>
      </w:r>
      <w:r>
        <w:rPr>
          <w:highlight w:val="yellow"/>
        </w:rPr>
        <w:t xml:space="preserve"> updated</w:t>
      </w:r>
    </w:p>
    <w:sectPr w:rsidR="007C4726" w:rsidRPr="005560FD" w:rsidSect="00A8730E">
      <w:headerReference w:type="even" r:id="rId10"/>
      <w:headerReference w:type="default" r:id="rId11"/>
      <w:footerReference w:type="default" r:id="rId12"/>
      <w:headerReference w:type="first" r:id="rId13"/>
      <w:pgSz w:w="16838" w:h="11906" w:orient="landscape" w:code="9"/>
      <w:pgMar w:top="1134" w:right="1134" w:bottom="1134" w:left="90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F69C" w14:textId="77777777" w:rsidR="003C263E" w:rsidRDefault="003C263E" w:rsidP="007C45C3">
      <w:r>
        <w:separator/>
      </w:r>
    </w:p>
  </w:endnote>
  <w:endnote w:type="continuationSeparator" w:id="0">
    <w:p w14:paraId="51484F25" w14:textId="77777777" w:rsidR="003C263E" w:rsidRDefault="003C263E" w:rsidP="007C45C3">
      <w:r>
        <w:continuationSeparator/>
      </w:r>
    </w:p>
  </w:endnote>
  <w:endnote w:type="continuationNotice" w:id="1">
    <w:p w14:paraId="4F704440" w14:textId="77777777" w:rsidR="003C263E" w:rsidRDefault="003C2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CA75" w14:textId="4BEBB5B8" w:rsidR="00E33C15" w:rsidRDefault="00E33C15" w:rsidP="000636DE">
    <w:pPr>
      <w:rPr>
        <w:sz w:val="16"/>
        <w:szCs w:val="16"/>
      </w:rPr>
    </w:pPr>
    <w:r w:rsidRPr="000636DE">
      <w:rPr>
        <w:sz w:val="16"/>
        <w:szCs w:val="16"/>
        <w:highlight w:val="yellow"/>
      </w:rPr>
      <w:t>Name of Council</w:t>
    </w:r>
    <w:r w:rsidR="00D150E6" w:rsidRPr="000636DE">
      <w:rPr>
        <w:sz w:val="16"/>
        <w:szCs w:val="16"/>
      </w:rPr>
      <w:tab/>
    </w:r>
    <w:r w:rsidR="00D150E6" w:rsidRPr="000636DE">
      <w:rPr>
        <w:sz w:val="16"/>
        <w:szCs w:val="16"/>
      </w:rPr>
      <w:tab/>
    </w:r>
    <w:r w:rsidR="00D150E6" w:rsidRPr="000636DE">
      <w:rPr>
        <w:sz w:val="16"/>
        <w:szCs w:val="16"/>
      </w:rPr>
      <w:tab/>
    </w:r>
    <w:r w:rsidR="00D150E6" w:rsidRPr="000636DE">
      <w:rPr>
        <w:sz w:val="16"/>
        <w:szCs w:val="16"/>
      </w:rPr>
      <w:tab/>
    </w:r>
    <w:r w:rsidR="00D150E6" w:rsidRP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Pr="000636DE">
      <w:rPr>
        <w:sz w:val="16"/>
        <w:szCs w:val="16"/>
      </w:rPr>
      <w:t xml:space="preserve">Page </w:t>
    </w:r>
    <w:r w:rsidRPr="000636DE">
      <w:rPr>
        <w:sz w:val="16"/>
        <w:szCs w:val="16"/>
      </w:rPr>
      <w:fldChar w:fldCharType="begin"/>
    </w:r>
    <w:r w:rsidRPr="000636DE">
      <w:rPr>
        <w:sz w:val="16"/>
        <w:szCs w:val="16"/>
      </w:rPr>
      <w:instrText xml:space="preserve"> PAGE   \* MERGEFORMAT </w:instrText>
    </w:r>
    <w:r w:rsidRPr="000636DE">
      <w:rPr>
        <w:sz w:val="16"/>
        <w:szCs w:val="16"/>
      </w:rPr>
      <w:fldChar w:fldCharType="separate"/>
    </w:r>
    <w:r w:rsidR="000472EF">
      <w:rPr>
        <w:noProof/>
        <w:sz w:val="16"/>
        <w:szCs w:val="16"/>
      </w:rPr>
      <w:t>2</w:t>
    </w:r>
    <w:r w:rsidRPr="000636DE">
      <w:rPr>
        <w:sz w:val="16"/>
        <w:szCs w:val="16"/>
      </w:rPr>
      <w:fldChar w:fldCharType="end"/>
    </w:r>
    <w:r w:rsidRPr="000636DE">
      <w:rPr>
        <w:sz w:val="16"/>
        <w:szCs w:val="16"/>
      </w:rPr>
      <w:t>/</w:t>
    </w:r>
    <w:r w:rsidRPr="000636DE">
      <w:rPr>
        <w:sz w:val="16"/>
        <w:szCs w:val="16"/>
      </w:rPr>
      <w:fldChar w:fldCharType="begin"/>
    </w:r>
    <w:r w:rsidRPr="000636DE">
      <w:rPr>
        <w:sz w:val="16"/>
        <w:szCs w:val="16"/>
      </w:rPr>
      <w:instrText xml:space="preserve"> NUMPAGES  \* Arabic  \* MERGEFORMAT </w:instrText>
    </w:r>
    <w:r w:rsidRPr="000636DE">
      <w:rPr>
        <w:sz w:val="16"/>
        <w:szCs w:val="16"/>
      </w:rPr>
      <w:fldChar w:fldCharType="separate"/>
    </w:r>
    <w:r w:rsidR="000472EF">
      <w:rPr>
        <w:noProof/>
        <w:sz w:val="16"/>
        <w:szCs w:val="16"/>
      </w:rPr>
      <w:t>3</w:t>
    </w:r>
    <w:r w:rsidRPr="000636DE">
      <w:rPr>
        <w:sz w:val="16"/>
        <w:szCs w:val="16"/>
      </w:rPr>
      <w:fldChar w:fldCharType="end"/>
    </w:r>
  </w:p>
  <w:p w14:paraId="59F269CC" w14:textId="5C7EFA76" w:rsidR="000636DE" w:rsidRPr="000636DE" w:rsidRDefault="000636DE" w:rsidP="000636DE">
    <w:pPr>
      <w:rPr>
        <w:sz w:val="16"/>
        <w:szCs w:val="16"/>
      </w:rPr>
    </w:pPr>
    <w:r w:rsidRPr="000636DE">
      <w:rPr>
        <w:sz w:val="16"/>
        <w:szCs w:val="16"/>
      </w:rPr>
      <w:t xml:space="preserve">Record of powers exercised during the </w:t>
    </w:r>
    <w:r w:rsidRPr="00265F1F">
      <w:rPr>
        <w:sz w:val="16"/>
        <w:szCs w:val="16"/>
      </w:rPr>
      <w:t>local</w:t>
    </w:r>
    <w:r w:rsidRPr="000636DE">
      <w:rPr>
        <w:sz w:val="16"/>
        <w:szCs w:val="16"/>
      </w:rPr>
      <w:t xml:space="preserve"> transition period for the </w:t>
    </w:r>
    <w:r w:rsidRPr="000636DE">
      <w:rPr>
        <w:sz w:val="16"/>
        <w:szCs w:val="16"/>
        <w:highlight w:val="yellow"/>
      </w:rPr>
      <w:t>xxx</w:t>
    </w:r>
    <w:r w:rsidRPr="000636DE">
      <w:rPr>
        <w:sz w:val="16"/>
        <w:szCs w:val="16"/>
      </w:rPr>
      <w:t xml:space="preserve"> emergency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4A02" w14:textId="77777777" w:rsidR="003C263E" w:rsidRDefault="003C263E" w:rsidP="007C45C3">
      <w:r>
        <w:separator/>
      </w:r>
    </w:p>
  </w:footnote>
  <w:footnote w:type="continuationSeparator" w:id="0">
    <w:p w14:paraId="296CF901" w14:textId="77777777" w:rsidR="003C263E" w:rsidRDefault="003C263E" w:rsidP="007C45C3">
      <w:r>
        <w:continuationSeparator/>
      </w:r>
    </w:p>
  </w:footnote>
  <w:footnote w:type="continuationNotice" w:id="1">
    <w:p w14:paraId="1D5D6723" w14:textId="77777777" w:rsidR="003C263E" w:rsidRDefault="003C26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4785" w14:textId="02ED7929" w:rsidR="00D053CA" w:rsidRDefault="00D053CA" w:rsidP="00D053CA">
    <w:pPr>
      <w:pStyle w:val="Header"/>
      <w:jc w:val="right"/>
    </w:pPr>
    <w:r w:rsidRPr="00D053CA">
      <w:rPr>
        <w:highlight w:val="yellow"/>
      </w:rPr>
      <w:t>Name of Council/logo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5643" w14:textId="35241297" w:rsidR="00E33C15" w:rsidRPr="00F860F4" w:rsidRDefault="00E33C15"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39EAF126" w14:textId="68D76AE6" w:rsidR="00E33C15" w:rsidRDefault="00E33C15">
    <w:pPr>
      <w:pStyle w:val="Header"/>
    </w:pPr>
  </w:p>
  <w:p w14:paraId="2AD7C386" w14:textId="5046745D" w:rsidR="00E33C15" w:rsidRPr="000636DE" w:rsidRDefault="00E33C15" w:rsidP="000636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3FB1" w14:textId="6192FC02" w:rsidR="00E33C15" w:rsidRDefault="00E33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F9"/>
    <w:multiLevelType w:val="multilevel"/>
    <w:tmpl w:val="15E6730A"/>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6"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8"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7B63C8"/>
    <w:multiLevelType w:val="multilevel"/>
    <w:tmpl w:val="A79ED950"/>
    <w:numStyleLink w:val="MCDEMbullet"/>
  </w:abstractNum>
  <w:abstractNum w:abstractNumId="12"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572F6AA5"/>
    <w:multiLevelType w:val="multilevel"/>
    <w:tmpl w:val="F0C6A318"/>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0A72FD4"/>
    <w:multiLevelType w:val="hybridMultilevel"/>
    <w:tmpl w:val="061CC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D661627"/>
    <w:multiLevelType w:val="multilevel"/>
    <w:tmpl w:val="A79ED950"/>
    <w:numStyleLink w:val="MCDEMbullet"/>
  </w:abstractNum>
  <w:abstractNum w:abstractNumId="26"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4"/>
  </w:num>
  <w:num w:numId="4">
    <w:abstractNumId w:val="19"/>
  </w:num>
  <w:num w:numId="5">
    <w:abstractNumId w:val="3"/>
  </w:num>
  <w:num w:numId="6">
    <w:abstractNumId w:val="26"/>
  </w:num>
  <w:num w:numId="7">
    <w:abstractNumId w:val="10"/>
  </w:num>
  <w:num w:numId="8">
    <w:abstractNumId w:val="8"/>
  </w:num>
  <w:num w:numId="9">
    <w:abstractNumId w:val="17"/>
  </w:num>
  <w:num w:numId="10">
    <w:abstractNumId w:val="25"/>
  </w:num>
  <w:num w:numId="11">
    <w:abstractNumId w:val="5"/>
  </w:num>
  <w:num w:numId="12">
    <w:abstractNumId w:val="1"/>
  </w:num>
  <w:num w:numId="13">
    <w:abstractNumId w:val="15"/>
  </w:num>
  <w:num w:numId="14">
    <w:abstractNumId w:val="7"/>
  </w:num>
  <w:num w:numId="15">
    <w:abstractNumId w:val="11"/>
  </w:num>
  <w:num w:numId="16">
    <w:abstractNumId w:val="0"/>
  </w:num>
  <w:num w:numId="17">
    <w:abstractNumId w:val="16"/>
  </w:num>
  <w:num w:numId="18">
    <w:abstractNumId w:val="4"/>
  </w:num>
  <w:num w:numId="19">
    <w:abstractNumId w:val="12"/>
  </w:num>
  <w:num w:numId="20">
    <w:abstractNumId w:val="2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num>
  <w:num w:numId="24">
    <w:abstractNumId w:val="23"/>
  </w:num>
  <w:num w:numId="25">
    <w:abstractNumId w:val="18"/>
  </w:num>
  <w:num w:numId="26">
    <w:abstractNumId w:val="14"/>
  </w:num>
  <w:num w:numId="27">
    <w:abstractNumId w:val="18"/>
  </w:num>
  <w:num w:numId="28">
    <w:abstractNumId w:val="18"/>
  </w:num>
  <w:num w:numId="29">
    <w:abstractNumId w:val="18"/>
  </w:num>
  <w:num w:numId="30">
    <w:abstractNumId w:val="18"/>
  </w:num>
  <w:num w:numId="31">
    <w:abstractNumId w:val="18"/>
  </w:num>
  <w:num w:numId="32">
    <w:abstractNumId w:val="2"/>
  </w:num>
  <w:num w:numId="3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F9"/>
    <w:rsid w:val="00013946"/>
    <w:rsid w:val="000245FB"/>
    <w:rsid w:val="00024D1F"/>
    <w:rsid w:val="000303BB"/>
    <w:rsid w:val="000326F8"/>
    <w:rsid w:val="00032C18"/>
    <w:rsid w:val="00042F07"/>
    <w:rsid w:val="00044F20"/>
    <w:rsid w:val="0004561B"/>
    <w:rsid w:val="000472EF"/>
    <w:rsid w:val="000475EC"/>
    <w:rsid w:val="0005203C"/>
    <w:rsid w:val="00052D28"/>
    <w:rsid w:val="00057ADC"/>
    <w:rsid w:val="0006027D"/>
    <w:rsid w:val="00061B68"/>
    <w:rsid w:val="000636DE"/>
    <w:rsid w:val="00072BA5"/>
    <w:rsid w:val="000747C4"/>
    <w:rsid w:val="000773AB"/>
    <w:rsid w:val="00080CD7"/>
    <w:rsid w:val="00083FFA"/>
    <w:rsid w:val="000A4102"/>
    <w:rsid w:val="000A4C43"/>
    <w:rsid w:val="000B30B3"/>
    <w:rsid w:val="000B7C47"/>
    <w:rsid w:val="000B7CB6"/>
    <w:rsid w:val="000C2732"/>
    <w:rsid w:val="000C6AEF"/>
    <w:rsid w:val="000C7F82"/>
    <w:rsid w:val="000D07B4"/>
    <w:rsid w:val="000D37B6"/>
    <w:rsid w:val="000D3950"/>
    <w:rsid w:val="000D6E13"/>
    <w:rsid w:val="000E22CE"/>
    <w:rsid w:val="000E5458"/>
    <w:rsid w:val="000F2201"/>
    <w:rsid w:val="000F3807"/>
    <w:rsid w:val="000F4491"/>
    <w:rsid w:val="000F7F4E"/>
    <w:rsid w:val="0010194D"/>
    <w:rsid w:val="001025AD"/>
    <w:rsid w:val="00112D2C"/>
    <w:rsid w:val="00120EDC"/>
    <w:rsid w:val="00144BB0"/>
    <w:rsid w:val="00145A6F"/>
    <w:rsid w:val="0015220A"/>
    <w:rsid w:val="001552C3"/>
    <w:rsid w:val="00155BD8"/>
    <w:rsid w:val="00165C66"/>
    <w:rsid w:val="00171514"/>
    <w:rsid w:val="001734A7"/>
    <w:rsid w:val="00181FD1"/>
    <w:rsid w:val="0018236B"/>
    <w:rsid w:val="00194353"/>
    <w:rsid w:val="001B58FC"/>
    <w:rsid w:val="001B7D0C"/>
    <w:rsid w:val="001B7EA3"/>
    <w:rsid w:val="001C0DD3"/>
    <w:rsid w:val="001C1A91"/>
    <w:rsid w:val="001D0B7C"/>
    <w:rsid w:val="001D38F2"/>
    <w:rsid w:val="001D39AD"/>
    <w:rsid w:val="001D49C1"/>
    <w:rsid w:val="001D5599"/>
    <w:rsid w:val="001E284A"/>
    <w:rsid w:val="001E2C56"/>
    <w:rsid w:val="001E317B"/>
    <w:rsid w:val="001E44AB"/>
    <w:rsid w:val="001E79E9"/>
    <w:rsid w:val="001F0757"/>
    <w:rsid w:val="001F0A81"/>
    <w:rsid w:val="001F0AC5"/>
    <w:rsid w:val="001F6F9D"/>
    <w:rsid w:val="00203A2F"/>
    <w:rsid w:val="0021035C"/>
    <w:rsid w:val="002103AF"/>
    <w:rsid w:val="00210FCB"/>
    <w:rsid w:val="00217B77"/>
    <w:rsid w:val="002320D8"/>
    <w:rsid w:val="00236251"/>
    <w:rsid w:val="00246BA9"/>
    <w:rsid w:val="002470C7"/>
    <w:rsid w:val="00247454"/>
    <w:rsid w:val="00247A72"/>
    <w:rsid w:val="002562B5"/>
    <w:rsid w:val="00265F1F"/>
    <w:rsid w:val="00267025"/>
    <w:rsid w:val="00280ECA"/>
    <w:rsid w:val="0028262B"/>
    <w:rsid w:val="0028430D"/>
    <w:rsid w:val="002879EC"/>
    <w:rsid w:val="00295A22"/>
    <w:rsid w:val="002A1843"/>
    <w:rsid w:val="002A20C9"/>
    <w:rsid w:val="002A300E"/>
    <w:rsid w:val="002B4349"/>
    <w:rsid w:val="002B5E76"/>
    <w:rsid w:val="002C03A7"/>
    <w:rsid w:val="002C057B"/>
    <w:rsid w:val="002C487A"/>
    <w:rsid w:val="002C4C3A"/>
    <w:rsid w:val="002D1C24"/>
    <w:rsid w:val="002D322A"/>
    <w:rsid w:val="002E2983"/>
    <w:rsid w:val="002E4AB5"/>
    <w:rsid w:val="002F38FA"/>
    <w:rsid w:val="002F40CB"/>
    <w:rsid w:val="002F5019"/>
    <w:rsid w:val="002F5D4E"/>
    <w:rsid w:val="00311C82"/>
    <w:rsid w:val="00330A85"/>
    <w:rsid w:val="0033421F"/>
    <w:rsid w:val="00334C38"/>
    <w:rsid w:val="00342243"/>
    <w:rsid w:val="00344838"/>
    <w:rsid w:val="00357582"/>
    <w:rsid w:val="00360B98"/>
    <w:rsid w:val="003610E2"/>
    <w:rsid w:val="003619BF"/>
    <w:rsid w:val="003628C7"/>
    <w:rsid w:val="00362BA7"/>
    <w:rsid w:val="00362D62"/>
    <w:rsid w:val="003731B6"/>
    <w:rsid w:val="0037596E"/>
    <w:rsid w:val="003810F6"/>
    <w:rsid w:val="00384E2F"/>
    <w:rsid w:val="003A28F8"/>
    <w:rsid w:val="003A2EFC"/>
    <w:rsid w:val="003A323E"/>
    <w:rsid w:val="003A5224"/>
    <w:rsid w:val="003A5ECD"/>
    <w:rsid w:val="003B113A"/>
    <w:rsid w:val="003B27C4"/>
    <w:rsid w:val="003B2C05"/>
    <w:rsid w:val="003B4FCA"/>
    <w:rsid w:val="003B6DE1"/>
    <w:rsid w:val="003C0EC8"/>
    <w:rsid w:val="003C13B3"/>
    <w:rsid w:val="003C14CA"/>
    <w:rsid w:val="003C263E"/>
    <w:rsid w:val="003C3600"/>
    <w:rsid w:val="003D25AB"/>
    <w:rsid w:val="003D3BB5"/>
    <w:rsid w:val="003D42CA"/>
    <w:rsid w:val="003D4F98"/>
    <w:rsid w:val="003E662D"/>
    <w:rsid w:val="003F1095"/>
    <w:rsid w:val="003F3B2E"/>
    <w:rsid w:val="00402343"/>
    <w:rsid w:val="00402E14"/>
    <w:rsid w:val="004079FA"/>
    <w:rsid w:val="00415609"/>
    <w:rsid w:val="004231F0"/>
    <w:rsid w:val="00423490"/>
    <w:rsid w:val="00424783"/>
    <w:rsid w:val="004342A6"/>
    <w:rsid w:val="00436145"/>
    <w:rsid w:val="00446188"/>
    <w:rsid w:val="004536A5"/>
    <w:rsid w:val="00455240"/>
    <w:rsid w:val="00455A3D"/>
    <w:rsid w:val="00457C65"/>
    <w:rsid w:val="00457D8A"/>
    <w:rsid w:val="004664A0"/>
    <w:rsid w:val="004665D4"/>
    <w:rsid w:val="004808AC"/>
    <w:rsid w:val="00486BD9"/>
    <w:rsid w:val="004930F3"/>
    <w:rsid w:val="0049773E"/>
    <w:rsid w:val="004A1500"/>
    <w:rsid w:val="004A414C"/>
    <w:rsid w:val="004A4481"/>
    <w:rsid w:val="004A50E1"/>
    <w:rsid w:val="004C4596"/>
    <w:rsid w:val="004C7EE9"/>
    <w:rsid w:val="004D48BA"/>
    <w:rsid w:val="004D4EC0"/>
    <w:rsid w:val="004D7EDC"/>
    <w:rsid w:val="004E26BB"/>
    <w:rsid w:val="004E2FD6"/>
    <w:rsid w:val="004E3A57"/>
    <w:rsid w:val="004F0DA8"/>
    <w:rsid w:val="004F5EC9"/>
    <w:rsid w:val="004F659C"/>
    <w:rsid w:val="00501791"/>
    <w:rsid w:val="005028B7"/>
    <w:rsid w:val="00504794"/>
    <w:rsid w:val="00513629"/>
    <w:rsid w:val="00514C2A"/>
    <w:rsid w:val="005242E5"/>
    <w:rsid w:val="00526A73"/>
    <w:rsid w:val="00531F81"/>
    <w:rsid w:val="00545196"/>
    <w:rsid w:val="005504F8"/>
    <w:rsid w:val="00550B5A"/>
    <w:rsid w:val="00550E39"/>
    <w:rsid w:val="00552F36"/>
    <w:rsid w:val="005560FD"/>
    <w:rsid w:val="0056130A"/>
    <w:rsid w:val="00572615"/>
    <w:rsid w:val="005765D3"/>
    <w:rsid w:val="005816E7"/>
    <w:rsid w:val="005824F8"/>
    <w:rsid w:val="00583F26"/>
    <w:rsid w:val="00585B2B"/>
    <w:rsid w:val="005B4BD1"/>
    <w:rsid w:val="005B5154"/>
    <w:rsid w:val="005C3CFF"/>
    <w:rsid w:val="005C56CC"/>
    <w:rsid w:val="005C686E"/>
    <w:rsid w:val="005D3B3D"/>
    <w:rsid w:val="005E1425"/>
    <w:rsid w:val="005E3839"/>
    <w:rsid w:val="005E54AF"/>
    <w:rsid w:val="005E5517"/>
    <w:rsid w:val="005F0535"/>
    <w:rsid w:val="006008E9"/>
    <w:rsid w:val="00604C49"/>
    <w:rsid w:val="00605A66"/>
    <w:rsid w:val="006137A5"/>
    <w:rsid w:val="00627DFB"/>
    <w:rsid w:val="00633F1E"/>
    <w:rsid w:val="00634DF7"/>
    <w:rsid w:val="00644334"/>
    <w:rsid w:val="006460DF"/>
    <w:rsid w:val="006519E9"/>
    <w:rsid w:val="006551C0"/>
    <w:rsid w:val="00656DE9"/>
    <w:rsid w:val="00664491"/>
    <w:rsid w:val="006677EB"/>
    <w:rsid w:val="00672221"/>
    <w:rsid w:val="00691A3E"/>
    <w:rsid w:val="00692F28"/>
    <w:rsid w:val="006955BC"/>
    <w:rsid w:val="006A2502"/>
    <w:rsid w:val="006A6856"/>
    <w:rsid w:val="006B1E91"/>
    <w:rsid w:val="006B55ED"/>
    <w:rsid w:val="006B73BE"/>
    <w:rsid w:val="006C48F4"/>
    <w:rsid w:val="006C5386"/>
    <w:rsid w:val="006C7338"/>
    <w:rsid w:val="006D0AE1"/>
    <w:rsid w:val="006E53D3"/>
    <w:rsid w:val="006F3CB8"/>
    <w:rsid w:val="006F70F6"/>
    <w:rsid w:val="00700326"/>
    <w:rsid w:val="0070581F"/>
    <w:rsid w:val="00712FA6"/>
    <w:rsid w:val="007152F1"/>
    <w:rsid w:val="007310AD"/>
    <w:rsid w:val="00734442"/>
    <w:rsid w:val="00734B47"/>
    <w:rsid w:val="0073514B"/>
    <w:rsid w:val="007357E7"/>
    <w:rsid w:val="00735EF2"/>
    <w:rsid w:val="00736FA8"/>
    <w:rsid w:val="00737FBB"/>
    <w:rsid w:val="00747A5C"/>
    <w:rsid w:val="00760234"/>
    <w:rsid w:val="00761BD6"/>
    <w:rsid w:val="007627E3"/>
    <w:rsid w:val="00763C68"/>
    <w:rsid w:val="00764073"/>
    <w:rsid w:val="007678F5"/>
    <w:rsid w:val="00767CE5"/>
    <w:rsid w:val="0077158E"/>
    <w:rsid w:val="00775DBC"/>
    <w:rsid w:val="0078408F"/>
    <w:rsid w:val="00786BB4"/>
    <w:rsid w:val="007874F1"/>
    <w:rsid w:val="0079012F"/>
    <w:rsid w:val="007939CD"/>
    <w:rsid w:val="00795FB4"/>
    <w:rsid w:val="007A2221"/>
    <w:rsid w:val="007A5BA3"/>
    <w:rsid w:val="007A73B2"/>
    <w:rsid w:val="007B1E2B"/>
    <w:rsid w:val="007B6778"/>
    <w:rsid w:val="007C1EDB"/>
    <w:rsid w:val="007C205C"/>
    <w:rsid w:val="007C45C3"/>
    <w:rsid w:val="007C4726"/>
    <w:rsid w:val="007C66DD"/>
    <w:rsid w:val="007C69CA"/>
    <w:rsid w:val="007D25F7"/>
    <w:rsid w:val="007D4736"/>
    <w:rsid w:val="007D4E5E"/>
    <w:rsid w:val="007E33FE"/>
    <w:rsid w:val="00803EAF"/>
    <w:rsid w:val="00807123"/>
    <w:rsid w:val="00807191"/>
    <w:rsid w:val="00813490"/>
    <w:rsid w:val="008211DE"/>
    <w:rsid w:val="00825CE1"/>
    <w:rsid w:val="008315F4"/>
    <w:rsid w:val="00831E70"/>
    <w:rsid w:val="00832D3A"/>
    <w:rsid w:val="00833CA1"/>
    <w:rsid w:val="008357BE"/>
    <w:rsid w:val="00845315"/>
    <w:rsid w:val="00846F9D"/>
    <w:rsid w:val="00855B53"/>
    <w:rsid w:val="00873AE0"/>
    <w:rsid w:val="00875C3B"/>
    <w:rsid w:val="00887E3B"/>
    <w:rsid w:val="00890C73"/>
    <w:rsid w:val="0089318E"/>
    <w:rsid w:val="00893DDE"/>
    <w:rsid w:val="008A0CBD"/>
    <w:rsid w:val="008A2148"/>
    <w:rsid w:val="008B1025"/>
    <w:rsid w:val="008C3DF1"/>
    <w:rsid w:val="008C5646"/>
    <w:rsid w:val="008C68BC"/>
    <w:rsid w:val="008D2588"/>
    <w:rsid w:val="008D38AB"/>
    <w:rsid w:val="008D4ACF"/>
    <w:rsid w:val="008D7899"/>
    <w:rsid w:val="008E55E7"/>
    <w:rsid w:val="008F1D29"/>
    <w:rsid w:val="008F7F50"/>
    <w:rsid w:val="00903771"/>
    <w:rsid w:val="009050ED"/>
    <w:rsid w:val="009070FF"/>
    <w:rsid w:val="00914051"/>
    <w:rsid w:val="00915A47"/>
    <w:rsid w:val="00917287"/>
    <w:rsid w:val="009209CE"/>
    <w:rsid w:val="00922AE2"/>
    <w:rsid w:val="00923383"/>
    <w:rsid w:val="00931D79"/>
    <w:rsid w:val="009329A7"/>
    <w:rsid w:val="00943769"/>
    <w:rsid w:val="009456CE"/>
    <w:rsid w:val="00947442"/>
    <w:rsid w:val="00953399"/>
    <w:rsid w:val="00954C84"/>
    <w:rsid w:val="00955256"/>
    <w:rsid w:val="00956E94"/>
    <w:rsid w:val="009574C0"/>
    <w:rsid w:val="00961385"/>
    <w:rsid w:val="009657ED"/>
    <w:rsid w:val="00975A12"/>
    <w:rsid w:val="0097634B"/>
    <w:rsid w:val="0098120A"/>
    <w:rsid w:val="00981F80"/>
    <w:rsid w:val="00984067"/>
    <w:rsid w:val="00984267"/>
    <w:rsid w:val="00987829"/>
    <w:rsid w:val="009A285A"/>
    <w:rsid w:val="009A453D"/>
    <w:rsid w:val="009A5229"/>
    <w:rsid w:val="009B59AA"/>
    <w:rsid w:val="009B79EB"/>
    <w:rsid w:val="009C3A82"/>
    <w:rsid w:val="009C7EE7"/>
    <w:rsid w:val="009D749C"/>
    <w:rsid w:val="009E6CCB"/>
    <w:rsid w:val="009F14A9"/>
    <w:rsid w:val="009F1611"/>
    <w:rsid w:val="009F5F16"/>
    <w:rsid w:val="00A16384"/>
    <w:rsid w:val="00A215DA"/>
    <w:rsid w:val="00A23DB8"/>
    <w:rsid w:val="00A27E47"/>
    <w:rsid w:val="00A31165"/>
    <w:rsid w:val="00A31B70"/>
    <w:rsid w:val="00A31DA5"/>
    <w:rsid w:val="00A518D9"/>
    <w:rsid w:val="00A64D80"/>
    <w:rsid w:val="00A70037"/>
    <w:rsid w:val="00A73A75"/>
    <w:rsid w:val="00A76EBC"/>
    <w:rsid w:val="00A8730E"/>
    <w:rsid w:val="00A91027"/>
    <w:rsid w:val="00A934F8"/>
    <w:rsid w:val="00AA6D9C"/>
    <w:rsid w:val="00AB09BA"/>
    <w:rsid w:val="00AC7BFF"/>
    <w:rsid w:val="00AD4447"/>
    <w:rsid w:val="00AD5710"/>
    <w:rsid w:val="00AD6FF8"/>
    <w:rsid w:val="00AE7B90"/>
    <w:rsid w:val="00AF0D5A"/>
    <w:rsid w:val="00AF40E4"/>
    <w:rsid w:val="00AF5882"/>
    <w:rsid w:val="00B017A0"/>
    <w:rsid w:val="00B04E68"/>
    <w:rsid w:val="00B13E47"/>
    <w:rsid w:val="00B17B9F"/>
    <w:rsid w:val="00B306FA"/>
    <w:rsid w:val="00B31C53"/>
    <w:rsid w:val="00B345BC"/>
    <w:rsid w:val="00B40613"/>
    <w:rsid w:val="00B43ADE"/>
    <w:rsid w:val="00B50D7E"/>
    <w:rsid w:val="00B543C5"/>
    <w:rsid w:val="00B54AAB"/>
    <w:rsid w:val="00B616F9"/>
    <w:rsid w:val="00B66BB9"/>
    <w:rsid w:val="00B71D4A"/>
    <w:rsid w:val="00B772B3"/>
    <w:rsid w:val="00B83ED9"/>
    <w:rsid w:val="00B850EC"/>
    <w:rsid w:val="00B90C9E"/>
    <w:rsid w:val="00B9106A"/>
    <w:rsid w:val="00B9348E"/>
    <w:rsid w:val="00B9693A"/>
    <w:rsid w:val="00B96E9F"/>
    <w:rsid w:val="00BA51BF"/>
    <w:rsid w:val="00BA56E1"/>
    <w:rsid w:val="00BB386C"/>
    <w:rsid w:val="00BB55ED"/>
    <w:rsid w:val="00BC3418"/>
    <w:rsid w:val="00BC43E7"/>
    <w:rsid w:val="00BE1E4B"/>
    <w:rsid w:val="00BE7CF4"/>
    <w:rsid w:val="00BF1A4E"/>
    <w:rsid w:val="00BF2EBC"/>
    <w:rsid w:val="00C02D6E"/>
    <w:rsid w:val="00C10252"/>
    <w:rsid w:val="00C11098"/>
    <w:rsid w:val="00C22311"/>
    <w:rsid w:val="00C23133"/>
    <w:rsid w:val="00C252C4"/>
    <w:rsid w:val="00C33A50"/>
    <w:rsid w:val="00C35121"/>
    <w:rsid w:val="00C35231"/>
    <w:rsid w:val="00C434A6"/>
    <w:rsid w:val="00C46C68"/>
    <w:rsid w:val="00C51BEC"/>
    <w:rsid w:val="00C53475"/>
    <w:rsid w:val="00C55398"/>
    <w:rsid w:val="00C57FEF"/>
    <w:rsid w:val="00C62FED"/>
    <w:rsid w:val="00C67702"/>
    <w:rsid w:val="00C8688D"/>
    <w:rsid w:val="00C93819"/>
    <w:rsid w:val="00C93CF3"/>
    <w:rsid w:val="00C95189"/>
    <w:rsid w:val="00C96215"/>
    <w:rsid w:val="00C97964"/>
    <w:rsid w:val="00CA2D76"/>
    <w:rsid w:val="00CA7214"/>
    <w:rsid w:val="00CB6018"/>
    <w:rsid w:val="00CC1F3D"/>
    <w:rsid w:val="00CC2528"/>
    <w:rsid w:val="00CC5E3A"/>
    <w:rsid w:val="00CC784B"/>
    <w:rsid w:val="00CD56BE"/>
    <w:rsid w:val="00CE0F3D"/>
    <w:rsid w:val="00CE235A"/>
    <w:rsid w:val="00CF473A"/>
    <w:rsid w:val="00CF6AC3"/>
    <w:rsid w:val="00CF6B9E"/>
    <w:rsid w:val="00CF6C70"/>
    <w:rsid w:val="00D004E5"/>
    <w:rsid w:val="00D010B6"/>
    <w:rsid w:val="00D053CA"/>
    <w:rsid w:val="00D05F23"/>
    <w:rsid w:val="00D06A59"/>
    <w:rsid w:val="00D0732F"/>
    <w:rsid w:val="00D10E38"/>
    <w:rsid w:val="00D12C61"/>
    <w:rsid w:val="00D150E6"/>
    <w:rsid w:val="00D31EC1"/>
    <w:rsid w:val="00D34673"/>
    <w:rsid w:val="00D3516E"/>
    <w:rsid w:val="00D42459"/>
    <w:rsid w:val="00D44A05"/>
    <w:rsid w:val="00D4540C"/>
    <w:rsid w:val="00D45CD1"/>
    <w:rsid w:val="00D5718E"/>
    <w:rsid w:val="00D61A90"/>
    <w:rsid w:val="00D75732"/>
    <w:rsid w:val="00D75C1D"/>
    <w:rsid w:val="00D8658B"/>
    <w:rsid w:val="00D87EAF"/>
    <w:rsid w:val="00D92ECF"/>
    <w:rsid w:val="00DB21DC"/>
    <w:rsid w:val="00DB3F40"/>
    <w:rsid w:val="00DC37E5"/>
    <w:rsid w:val="00DC3AA0"/>
    <w:rsid w:val="00DC62E5"/>
    <w:rsid w:val="00DD367B"/>
    <w:rsid w:val="00DE630A"/>
    <w:rsid w:val="00DF01E9"/>
    <w:rsid w:val="00E01337"/>
    <w:rsid w:val="00E01CF1"/>
    <w:rsid w:val="00E022D9"/>
    <w:rsid w:val="00E03264"/>
    <w:rsid w:val="00E06E02"/>
    <w:rsid w:val="00E07086"/>
    <w:rsid w:val="00E10B2D"/>
    <w:rsid w:val="00E11E0B"/>
    <w:rsid w:val="00E16851"/>
    <w:rsid w:val="00E16C88"/>
    <w:rsid w:val="00E23C85"/>
    <w:rsid w:val="00E24142"/>
    <w:rsid w:val="00E25E4A"/>
    <w:rsid w:val="00E33C15"/>
    <w:rsid w:val="00E36431"/>
    <w:rsid w:val="00E3776D"/>
    <w:rsid w:val="00E45B38"/>
    <w:rsid w:val="00E54002"/>
    <w:rsid w:val="00E542C5"/>
    <w:rsid w:val="00E5441F"/>
    <w:rsid w:val="00E56256"/>
    <w:rsid w:val="00E656CD"/>
    <w:rsid w:val="00E67E2F"/>
    <w:rsid w:val="00E71605"/>
    <w:rsid w:val="00E7357D"/>
    <w:rsid w:val="00E75DDF"/>
    <w:rsid w:val="00E768B4"/>
    <w:rsid w:val="00E80A6F"/>
    <w:rsid w:val="00E81C55"/>
    <w:rsid w:val="00E82751"/>
    <w:rsid w:val="00E855E8"/>
    <w:rsid w:val="00E95B8C"/>
    <w:rsid w:val="00EB17C8"/>
    <w:rsid w:val="00EB4AE0"/>
    <w:rsid w:val="00EB4B9C"/>
    <w:rsid w:val="00EB6B24"/>
    <w:rsid w:val="00EB7E96"/>
    <w:rsid w:val="00EC0D14"/>
    <w:rsid w:val="00EC3E3B"/>
    <w:rsid w:val="00EC53B0"/>
    <w:rsid w:val="00ED02B9"/>
    <w:rsid w:val="00ED4389"/>
    <w:rsid w:val="00ED6C97"/>
    <w:rsid w:val="00EE5522"/>
    <w:rsid w:val="00EF06D1"/>
    <w:rsid w:val="00EF2C41"/>
    <w:rsid w:val="00EF62C3"/>
    <w:rsid w:val="00EF78F7"/>
    <w:rsid w:val="00EF7A61"/>
    <w:rsid w:val="00F03CB0"/>
    <w:rsid w:val="00F0701B"/>
    <w:rsid w:val="00F110F5"/>
    <w:rsid w:val="00F11F76"/>
    <w:rsid w:val="00F12958"/>
    <w:rsid w:val="00F22FA8"/>
    <w:rsid w:val="00F26F70"/>
    <w:rsid w:val="00F36394"/>
    <w:rsid w:val="00F440AF"/>
    <w:rsid w:val="00F51B5C"/>
    <w:rsid w:val="00F549BA"/>
    <w:rsid w:val="00F672B5"/>
    <w:rsid w:val="00F70C85"/>
    <w:rsid w:val="00F8231A"/>
    <w:rsid w:val="00F848C6"/>
    <w:rsid w:val="00F85E6A"/>
    <w:rsid w:val="00F860F4"/>
    <w:rsid w:val="00F92C33"/>
    <w:rsid w:val="00F96262"/>
    <w:rsid w:val="00FA07CA"/>
    <w:rsid w:val="00FA5083"/>
    <w:rsid w:val="00FB6C7E"/>
    <w:rsid w:val="00FC1228"/>
    <w:rsid w:val="00FC3429"/>
    <w:rsid w:val="00FC40B0"/>
    <w:rsid w:val="00FC58CD"/>
    <w:rsid w:val="00FD0E4C"/>
    <w:rsid w:val="00FD1AF4"/>
    <w:rsid w:val="00FD2CDB"/>
    <w:rsid w:val="00FD3D5D"/>
    <w:rsid w:val="00FE041D"/>
    <w:rsid w:val="00FE342A"/>
    <w:rsid w:val="00FF0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30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EF"/>
    <w:pPr>
      <w:spacing w:after="160" w:line="259" w:lineRule="auto"/>
    </w:pPr>
  </w:style>
  <w:style w:type="paragraph" w:styleId="Heading1">
    <w:name w:val="heading 1"/>
    <w:basedOn w:val="Normal"/>
    <w:next w:val="Normal"/>
    <w:link w:val="Heading1Char"/>
    <w:qFormat/>
    <w:rsid w:val="00AB09BA"/>
    <w:pPr>
      <w:keepNext/>
      <w:keepLines/>
      <w:pageBreakBefore/>
      <w:numPr>
        <w:numId w:val="25"/>
      </w:numPr>
      <w:pBdr>
        <w:bottom w:val="single" w:sz="12" w:space="1" w:color="4F81BD"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AB09BA"/>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AB09BA"/>
    <w:pPr>
      <w:keepNext/>
      <w:keepLines/>
      <w:numPr>
        <w:ilvl w:val="2"/>
        <w:numId w:val="25"/>
      </w:numPr>
      <w:pBdr>
        <w:bottom w:val="single" w:sz="6" w:space="1" w:color="4F81BD"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AB09BA"/>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qFormat/>
    <w:rsid w:val="00AB09BA"/>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AB09BA"/>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AB09BA"/>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AB09BA"/>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AB09BA"/>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0472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72EF"/>
  </w:style>
  <w:style w:type="character" w:customStyle="1" w:styleId="Heading1Char">
    <w:name w:val="Heading 1 Char"/>
    <w:basedOn w:val="DefaultParagraphFont"/>
    <w:link w:val="Heading1"/>
    <w:rsid w:val="00AB09BA"/>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AB09BA"/>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AB09BA"/>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AB09BA"/>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AB0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BA"/>
    <w:rPr>
      <w:rFonts w:ascii="Arial" w:eastAsia="Calibri" w:hAnsi="Arial" w:cs="Times New Roman"/>
    </w:rPr>
  </w:style>
  <w:style w:type="paragraph" w:styleId="Footer">
    <w:name w:val="footer"/>
    <w:basedOn w:val="Normal"/>
    <w:link w:val="FooterChar"/>
    <w:uiPriority w:val="99"/>
    <w:rsid w:val="00AB09BA"/>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AB09BA"/>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AB09BA"/>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AB09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AB09BA"/>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AB09BA"/>
    <w:pPr>
      <w:spacing w:after="0" w:line="240" w:lineRule="auto"/>
    </w:pPr>
  </w:style>
  <w:style w:type="character" w:styleId="Hyperlink">
    <w:name w:val="Hyperlink"/>
    <w:basedOn w:val="DefaultParagraphFont"/>
    <w:uiPriority w:val="99"/>
    <w:rsid w:val="00AB09BA"/>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AB09BA"/>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AB09BA"/>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AB09BA"/>
    <w:rPr>
      <w:i/>
      <w:iCs/>
      <w:color w:val="808080" w:themeColor="text1" w:themeTint="7F"/>
    </w:rPr>
  </w:style>
  <w:style w:type="character" w:styleId="SubtleReference">
    <w:name w:val="Subtle Reference"/>
    <w:uiPriority w:val="31"/>
    <w:qFormat/>
    <w:rsid w:val="00AB09BA"/>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AB09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B09BA"/>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AB09BA"/>
    <w:rPr>
      <w:i/>
      <w:iCs/>
      <w:color w:val="000000"/>
      <w:sz w:val="20"/>
      <w:szCs w:val="20"/>
    </w:rPr>
  </w:style>
  <w:style w:type="character" w:customStyle="1" w:styleId="QuoteChar">
    <w:name w:val="Quote Char"/>
    <w:basedOn w:val="DefaultParagraphFont"/>
    <w:link w:val="Quote"/>
    <w:uiPriority w:val="29"/>
    <w:rsid w:val="00AB09BA"/>
    <w:rPr>
      <w:rFonts w:ascii="Arial" w:eastAsia="Calibri" w:hAnsi="Arial" w:cs="Times New Roman"/>
      <w:i/>
      <w:iCs/>
      <w:color w:val="000000"/>
      <w:sz w:val="20"/>
      <w:szCs w:val="20"/>
    </w:rPr>
  </w:style>
  <w:style w:type="paragraph" w:styleId="Caption">
    <w:name w:val="caption"/>
    <w:basedOn w:val="Normal"/>
    <w:next w:val="Normal"/>
    <w:qFormat/>
    <w:rsid w:val="00AB09BA"/>
    <w:pPr>
      <w:spacing w:line="240" w:lineRule="auto"/>
      <w:jc w:val="center"/>
    </w:pPr>
    <w:rPr>
      <w:rFonts w:ascii="Arial Narrow" w:hAnsi="Arial Narrow"/>
      <w:b/>
      <w:bCs/>
      <w:szCs w:val="18"/>
    </w:rPr>
  </w:style>
  <w:style w:type="character" w:styleId="Emphasis">
    <w:name w:val="Emphasis"/>
    <w:basedOn w:val="DefaultParagraphFont"/>
    <w:uiPriority w:val="20"/>
    <w:qFormat/>
    <w:rsid w:val="00AB09BA"/>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AB09BA"/>
    <w:pPr>
      <w:spacing w:after="100"/>
    </w:pPr>
    <w:rPr>
      <w:b/>
    </w:rPr>
  </w:style>
  <w:style w:type="paragraph" w:styleId="TOC2">
    <w:name w:val="toc 2"/>
    <w:basedOn w:val="Normal"/>
    <w:next w:val="Normal"/>
    <w:autoRedefine/>
    <w:uiPriority w:val="39"/>
    <w:rsid w:val="00AB09BA"/>
    <w:pPr>
      <w:tabs>
        <w:tab w:val="left" w:pos="993"/>
        <w:tab w:val="right" w:leader="dot" w:pos="9498"/>
      </w:tabs>
      <w:spacing w:after="0"/>
      <w:ind w:left="221" w:firstLine="204"/>
    </w:pPr>
    <w:rPr>
      <w:noProof/>
    </w:rPr>
  </w:style>
  <w:style w:type="paragraph" w:styleId="TOC3">
    <w:name w:val="toc 3"/>
    <w:basedOn w:val="Normal"/>
    <w:next w:val="Normal"/>
    <w:autoRedefine/>
    <w:rsid w:val="00AB09BA"/>
    <w:pPr>
      <w:tabs>
        <w:tab w:val="left" w:pos="1701"/>
        <w:tab w:val="right" w:leader="dot" w:pos="9016"/>
      </w:tabs>
      <w:spacing w:after="100"/>
      <w:ind w:left="993"/>
    </w:pPr>
  </w:style>
  <w:style w:type="paragraph" w:styleId="TOC4">
    <w:name w:val="toc 4"/>
    <w:basedOn w:val="Normal"/>
    <w:next w:val="Normal"/>
    <w:autoRedefine/>
    <w:rsid w:val="00AB09BA"/>
    <w:pPr>
      <w:tabs>
        <w:tab w:val="right" w:leader="dot" w:pos="9016"/>
      </w:tabs>
      <w:spacing w:after="100"/>
      <w:ind w:left="1701"/>
    </w:pPr>
  </w:style>
  <w:style w:type="paragraph" w:styleId="TOC5">
    <w:name w:val="toc 5"/>
    <w:basedOn w:val="Normal"/>
    <w:next w:val="Normal"/>
    <w:autoRedefine/>
    <w:rsid w:val="00AB09BA"/>
    <w:pPr>
      <w:tabs>
        <w:tab w:val="left" w:pos="1701"/>
        <w:tab w:val="right" w:leader="dot" w:pos="9016"/>
      </w:tabs>
      <w:spacing w:after="100"/>
      <w:ind w:left="426"/>
    </w:pPr>
  </w:style>
  <w:style w:type="paragraph" w:styleId="TOC6">
    <w:name w:val="toc 6"/>
    <w:basedOn w:val="Normal"/>
    <w:next w:val="Normal"/>
    <w:autoRedefine/>
    <w:rsid w:val="00AB09BA"/>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AB09BA"/>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AB09BA"/>
    <w:pPr>
      <w:spacing w:before="60" w:after="60" w:line="240" w:lineRule="auto"/>
    </w:pPr>
  </w:style>
  <w:style w:type="character" w:customStyle="1" w:styleId="TablenormalChar">
    <w:name w:val="Table normal Char"/>
    <w:basedOn w:val="DefaultParagraphFont"/>
    <w:link w:val="Tablenormal0"/>
    <w:rsid w:val="00AB09BA"/>
    <w:rPr>
      <w:rFonts w:ascii="Arial" w:eastAsia="Calibri" w:hAnsi="Arial" w:cs="Times New Roman"/>
    </w:rPr>
  </w:style>
  <w:style w:type="paragraph" w:customStyle="1" w:styleId="Title2">
    <w:name w:val="Title 2"/>
    <w:basedOn w:val="Title"/>
    <w:next w:val="Normal"/>
    <w:qFormat/>
    <w:rsid w:val="00AB09BA"/>
    <w:rPr>
      <w:sz w:val="32"/>
    </w:rPr>
  </w:style>
  <w:style w:type="character" w:customStyle="1" w:styleId="Heading6Char">
    <w:name w:val="Heading 6 Char"/>
    <w:aliases w:val="appendices Char"/>
    <w:basedOn w:val="DefaultParagraphFont"/>
    <w:link w:val="Heading6"/>
    <w:rsid w:val="00AB09BA"/>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AB09BA"/>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AB09BA"/>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AB09BA"/>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AB09BA"/>
    <w:rPr>
      <w:i/>
      <w:color w:val="EEECE1" w:themeColor="background2"/>
      <w:sz w:val="20"/>
      <w:u w:val="single"/>
    </w:rPr>
  </w:style>
  <w:style w:type="character" w:customStyle="1" w:styleId="CrossreferenceChar">
    <w:name w:val="Cross reference Char"/>
    <w:basedOn w:val="DefaultParagraphFont"/>
    <w:link w:val="Crossreference"/>
    <w:rsid w:val="00AB09BA"/>
    <w:rPr>
      <w:rFonts w:ascii="Arial" w:eastAsia="Calibri" w:hAnsi="Arial" w:cs="Times New Roman"/>
      <w:i/>
      <w:color w:val="EEECE1" w:themeColor="background2"/>
      <w:sz w:val="20"/>
      <w:u w:val="single"/>
    </w:rPr>
  </w:style>
  <w:style w:type="paragraph" w:customStyle="1" w:styleId="Spacer">
    <w:name w:val="Spacer"/>
    <w:basedOn w:val="Normal"/>
    <w:qFormat/>
    <w:rsid w:val="00AB09BA"/>
    <w:pPr>
      <w:spacing w:after="0" w:line="240" w:lineRule="auto"/>
    </w:pPr>
    <w:rPr>
      <w:sz w:val="16"/>
    </w:rPr>
  </w:style>
  <w:style w:type="paragraph" w:customStyle="1" w:styleId="LHcolumn">
    <w:name w:val="LH column"/>
    <w:basedOn w:val="Normal"/>
    <w:qFormat/>
    <w:rsid w:val="00AB09BA"/>
    <w:rPr>
      <w:rFonts w:ascii="Arial Narrow" w:hAnsi="Arial Narrow"/>
      <w:b/>
      <w:color w:val="000000" w:themeColor="text1"/>
    </w:rPr>
  </w:style>
  <w:style w:type="paragraph" w:customStyle="1" w:styleId="Bullet">
    <w:name w:val="Bullet"/>
    <w:basedOn w:val="ListParagraph"/>
    <w:qFormat/>
    <w:rsid w:val="00AB09BA"/>
    <w:pPr>
      <w:numPr>
        <w:numId w:val="15"/>
      </w:numPr>
      <w:contextualSpacing w:val="0"/>
    </w:pPr>
  </w:style>
  <w:style w:type="paragraph" w:customStyle="1" w:styleId="Tableheading">
    <w:name w:val="Table heading"/>
    <w:basedOn w:val="Normal"/>
    <w:qFormat/>
    <w:rsid w:val="00AB09BA"/>
    <w:pPr>
      <w:spacing w:before="60" w:after="60" w:line="240" w:lineRule="auto"/>
    </w:pPr>
    <w:rPr>
      <w:b/>
      <w:color w:val="FFFFFF"/>
    </w:rPr>
  </w:style>
  <w:style w:type="paragraph" w:customStyle="1" w:styleId="Figuretitle">
    <w:name w:val="Figure title"/>
    <w:basedOn w:val="Normal"/>
    <w:uiPriority w:val="99"/>
    <w:semiHidden/>
    <w:qFormat/>
    <w:rsid w:val="00AB09BA"/>
    <w:pPr>
      <w:spacing w:after="0"/>
    </w:pPr>
    <w:rPr>
      <w:b/>
    </w:rPr>
  </w:style>
  <w:style w:type="paragraph" w:customStyle="1" w:styleId="Figuresource">
    <w:name w:val="Figure source"/>
    <w:basedOn w:val="Figuretitle"/>
    <w:next w:val="Normal"/>
    <w:uiPriority w:val="99"/>
    <w:semiHidden/>
    <w:qFormat/>
    <w:rsid w:val="00AB09BA"/>
    <w:rPr>
      <w:b w:val="0"/>
    </w:rPr>
  </w:style>
  <w:style w:type="paragraph" w:customStyle="1" w:styleId="NZFS2ndpageheader">
    <w:name w:val="NZFS 2nd page header"/>
    <w:basedOn w:val="Normal"/>
    <w:next w:val="Normal"/>
    <w:uiPriority w:val="99"/>
    <w:semiHidden/>
    <w:qFormat/>
    <w:rsid w:val="00AB09BA"/>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AB09BA"/>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AB09BA"/>
    <w:pPr>
      <w:jc w:val="center"/>
    </w:pPr>
    <w:rPr>
      <w:b/>
      <w:sz w:val="20"/>
    </w:rPr>
  </w:style>
  <w:style w:type="character" w:customStyle="1" w:styleId="LegislationboxtitleChar">
    <w:name w:val="Legislation box title Char"/>
    <w:basedOn w:val="DefaultParagraphFont"/>
    <w:link w:val="Legislationboxtitle"/>
    <w:rsid w:val="00AB09BA"/>
    <w:rPr>
      <w:rFonts w:ascii="Arial" w:eastAsia="Calibri" w:hAnsi="Arial" w:cs="Times New Roman"/>
      <w:b/>
      <w:sz w:val="20"/>
    </w:rPr>
  </w:style>
  <w:style w:type="paragraph" w:customStyle="1" w:styleId="Tinyline">
    <w:name w:val="Tiny line"/>
    <w:basedOn w:val="Spacer"/>
    <w:qFormat/>
    <w:rsid w:val="00AB09BA"/>
    <w:rPr>
      <w:sz w:val="8"/>
    </w:rPr>
  </w:style>
  <w:style w:type="paragraph" w:customStyle="1" w:styleId="Titleforewordandcontents">
    <w:name w:val="Title foreword and contents"/>
    <w:basedOn w:val="Title"/>
    <w:next w:val="Normal"/>
    <w:qFormat/>
    <w:rsid w:val="00AB09BA"/>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AB09BA"/>
    <w:rPr>
      <w:i/>
      <w:sz w:val="18"/>
    </w:rPr>
  </w:style>
  <w:style w:type="paragraph" w:customStyle="1" w:styleId="Numbering">
    <w:name w:val="Numbering"/>
    <w:basedOn w:val="Normal"/>
    <w:qFormat/>
    <w:rsid w:val="00AB09BA"/>
    <w:pPr>
      <w:numPr>
        <w:numId w:val="11"/>
      </w:numPr>
      <w:spacing w:line="288" w:lineRule="auto"/>
    </w:pPr>
  </w:style>
  <w:style w:type="paragraph" w:customStyle="1" w:styleId="Legalsection">
    <w:name w:val="Legal section"/>
    <w:basedOn w:val="Normal"/>
    <w:next w:val="Normal"/>
    <w:qFormat/>
    <w:rsid w:val="00AB09BA"/>
    <w:pPr>
      <w:numPr>
        <w:numId w:val="12"/>
      </w:numPr>
      <w:spacing w:after="60"/>
      <w:ind w:left="357" w:hanging="357"/>
    </w:pPr>
    <w:rPr>
      <w:b/>
    </w:rPr>
  </w:style>
  <w:style w:type="paragraph" w:customStyle="1" w:styleId="Appendixcontents">
    <w:name w:val="Appendix contents"/>
    <w:basedOn w:val="TOC1"/>
    <w:uiPriority w:val="99"/>
    <w:semiHidden/>
    <w:qFormat/>
    <w:rsid w:val="00AB09BA"/>
    <w:pPr>
      <w:tabs>
        <w:tab w:val="left" w:pos="1276"/>
        <w:tab w:val="right" w:leader="dot" w:pos="9498"/>
      </w:tabs>
      <w:spacing w:before="180" w:after="40"/>
    </w:pPr>
    <w:rPr>
      <w:rFonts w:cstheme="minorHAnsi"/>
      <w:bCs/>
      <w:iCs/>
      <w:noProof/>
      <w:szCs w:val="24"/>
    </w:rPr>
  </w:style>
  <w:style w:type="paragraph" w:customStyle="1" w:styleId="Appendix">
    <w:name w:val="Appendix"/>
    <w:basedOn w:val="Normal"/>
    <w:next w:val="Normal"/>
    <w:uiPriority w:val="99"/>
    <w:semiHidden/>
    <w:qFormat/>
    <w:rsid w:val="00AB09BA"/>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AB09BA"/>
    <w:pPr>
      <w:keepNext/>
      <w:keepLines/>
      <w:spacing w:before="200" w:line="240" w:lineRule="auto"/>
      <w:contextualSpacing/>
    </w:pPr>
    <w:rPr>
      <w:rFonts w:eastAsiaTheme="majorEastAsia" w:cstheme="majorBidi"/>
      <w:b/>
      <w:bCs/>
      <w:color w:val="EEECE1" w:themeColor="background2"/>
      <w:sz w:val="24"/>
      <w:szCs w:val="20"/>
    </w:rPr>
  </w:style>
  <w:style w:type="paragraph" w:customStyle="1" w:styleId="Legalnumbering">
    <w:name w:val="Legal numbering"/>
    <w:basedOn w:val="Normal"/>
    <w:qFormat/>
    <w:rsid w:val="00AB09BA"/>
    <w:pPr>
      <w:numPr>
        <w:numId w:val="13"/>
      </w:numPr>
      <w:spacing w:before="60" w:after="60"/>
    </w:pPr>
    <w:rPr>
      <w:bCs/>
    </w:rPr>
  </w:style>
  <w:style w:type="paragraph" w:customStyle="1" w:styleId="Appendixsubnonumbering">
    <w:name w:val="Appendix sub no numbering"/>
    <w:basedOn w:val="Normal"/>
    <w:uiPriority w:val="99"/>
    <w:semiHidden/>
    <w:rsid w:val="00AB09BA"/>
    <w:rPr>
      <w:rFonts w:ascii="Arial Narrow" w:hAnsi="Arial Narrow"/>
      <w:b/>
      <w:color w:val="EEECE1" w:themeColor="background2"/>
      <w:sz w:val="24"/>
    </w:rPr>
  </w:style>
  <w:style w:type="character" w:styleId="Strong">
    <w:name w:val="Strong"/>
    <w:uiPriority w:val="22"/>
    <w:qFormat/>
    <w:rsid w:val="00AB09BA"/>
    <w:rPr>
      <w:b/>
      <w:bCs/>
    </w:rPr>
  </w:style>
  <w:style w:type="paragraph" w:styleId="IntenseQuote">
    <w:name w:val="Intense Quote"/>
    <w:basedOn w:val="Normal"/>
    <w:next w:val="Normal"/>
    <w:link w:val="IntenseQuoteChar"/>
    <w:uiPriority w:val="30"/>
    <w:qFormat/>
    <w:rsid w:val="00AB09BA"/>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AB09BA"/>
    <w:rPr>
      <w:rFonts w:ascii="Arial" w:eastAsia="Calibri" w:hAnsi="Arial" w:cs="Times New Roman"/>
      <w:b/>
      <w:bCs/>
      <w:i/>
      <w:iCs/>
      <w:color w:val="4F81BD" w:themeColor="accent1"/>
      <w:sz w:val="20"/>
    </w:rPr>
  </w:style>
  <w:style w:type="character" w:styleId="IntenseEmphasis">
    <w:name w:val="Intense Emphasis"/>
    <w:uiPriority w:val="21"/>
    <w:qFormat/>
    <w:rsid w:val="00AB09BA"/>
    <w:rPr>
      <w:b/>
      <w:bCs/>
      <w:i/>
      <w:iCs/>
      <w:color w:val="4F81BD" w:themeColor="accent1"/>
    </w:rPr>
  </w:style>
  <w:style w:type="paragraph" w:customStyle="1" w:styleId="Titlesubheadingsnotforcontents">
    <w:name w:val="Title sub headings not for contents"/>
    <w:basedOn w:val="Normal"/>
    <w:next w:val="Normal"/>
    <w:qFormat/>
    <w:rsid w:val="00AB09BA"/>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AB09BA"/>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AB09BA"/>
    <w:pPr>
      <w:numPr>
        <w:numId w:val="14"/>
      </w:numPr>
    </w:pPr>
  </w:style>
  <w:style w:type="paragraph" w:customStyle="1" w:styleId="MCDEMheader">
    <w:name w:val="MCDEM header"/>
    <w:basedOn w:val="Normal"/>
    <w:qFormat/>
    <w:rsid w:val="00AB09BA"/>
    <w:pPr>
      <w:spacing w:after="0"/>
    </w:pPr>
    <w:rPr>
      <w:i/>
      <w:color w:val="365F91" w:themeColor="accent1" w:themeShade="BF"/>
    </w:rPr>
  </w:style>
  <w:style w:type="paragraph" w:customStyle="1" w:styleId="Greytext">
    <w:name w:val="Greytext"/>
    <w:basedOn w:val="Tablenormal0"/>
    <w:next w:val="Normal"/>
    <w:link w:val="GreytextChar"/>
    <w:qFormat/>
    <w:rsid w:val="00AB09BA"/>
    <w:rPr>
      <w:i/>
      <w:color w:val="365F91" w:themeColor="accent1" w:themeShade="BF"/>
      <w:lang w:eastAsia="en-NZ"/>
    </w:rPr>
  </w:style>
  <w:style w:type="character" w:customStyle="1" w:styleId="GreytextChar">
    <w:name w:val="Greytext Char"/>
    <w:basedOn w:val="TablenormalChar"/>
    <w:link w:val="Greytext"/>
    <w:rsid w:val="00AB09BA"/>
    <w:rPr>
      <w:rFonts w:ascii="Arial" w:eastAsia="Calibri" w:hAnsi="Arial" w:cs="Times New Roman"/>
      <w:i/>
      <w:color w:val="365F91" w:themeColor="accent1" w:themeShade="BF"/>
      <w:lang w:eastAsia="en-NZ"/>
    </w:rPr>
  </w:style>
  <w:style w:type="paragraph" w:customStyle="1" w:styleId="Redtextbullets">
    <w:name w:val="Redtext bullets"/>
    <w:basedOn w:val="Normal"/>
    <w:rsid w:val="00AB09BA"/>
    <w:pPr>
      <w:numPr>
        <w:numId w:val="20"/>
      </w:numPr>
      <w:spacing w:before="20" w:after="20" w:line="240" w:lineRule="auto"/>
    </w:pPr>
    <w:rPr>
      <w:color w:val="C0504D" w:themeColor="accent2"/>
    </w:rPr>
  </w:style>
  <w:style w:type="paragraph" w:customStyle="1" w:styleId="TableText">
    <w:name w:val="Table Text"/>
    <w:basedOn w:val="Normal"/>
    <w:rsid w:val="00AB09BA"/>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AB09BA"/>
    <w:pPr>
      <w:pageBreakBefore w:val="0"/>
      <w:numPr>
        <w:numId w:val="0"/>
      </w:numPr>
    </w:pPr>
  </w:style>
  <w:style w:type="paragraph" w:customStyle="1" w:styleId="Heading2NoNumbering">
    <w:name w:val="Heading 2 No Numbering"/>
    <w:basedOn w:val="Heading2"/>
    <w:next w:val="Normal"/>
    <w:qFormat/>
    <w:rsid w:val="00AB09BA"/>
    <w:pPr>
      <w:numPr>
        <w:ilvl w:val="0"/>
        <w:numId w:val="0"/>
      </w:numPr>
    </w:pPr>
  </w:style>
  <w:style w:type="paragraph" w:customStyle="1" w:styleId="Heading3NoNumbering">
    <w:name w:val="Heading 3 No Numbering"/>
    <w:basedOn w:val="Heading3"/>
    <w:next w:val="Normal"/>
    <w:qFormat/>
    <w:rsid w:val="00AB09BA"/>
    <w:pPr>
      <w:numPr>
        <w:ilvl w:val="0"/>
        <w:numId w:val="0"/>
      </w:numPr>
    </w:pPr>
  </w:style>
  <w:style w:type="paragraph" w:customStyle="1" w:styleId="highlight">
    <w:name w:val="highlight"/>
    <w:basedOn w:val="Normal"/>
    <w:qFormat/>
    <w:rsid w:val="007C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195194612">
      <w:bodyDiv w:val="1"/>
      <w:marLeft w:val="0"/>
      <w:marRight w:val="0"/>
      <w:marTop w:val="0"/>
      <w:marBottom w:val="0"/>
      <w:divBdr>
        <w:top w:val="none" w:sz="0" w:space="0" w:color="auto"/>
        <w:left w:val="none" w:sz="0" w:space="0" w:color="auto"/>
        <w:bottom w:val="none" w:sz="0" w:space="0" w:color="auto"/>
        <w:right w:val="none" w:sz="0" w:space="0" w:color="auto"/>
      </w:divBdr>
      <w:divsChild>
        <w:div w:id="945307317">
          <w:marLeft w:val="0"/>
          <w:marRight w:val="0"/>
          <w:marTop w:val="0"/>
          <w:marBottom w:val="0"/>
          <w:divBdr>
            <w:top w:val="none" w:sz="0" w:space="0" w:color="auto"/>
            <w:left w:val="none" w:sz="0" w:space="0" w:color="auto"/>
            <w:bottom w:val="none" w:sz="0" w:space="0" w:color="auto"/>
            <w:right w:val="none" w:sz="0" w:space="0" w:color="auto"/>
          </w:divBdr>
          <w:divsChild>
            <w:div w:id="1424641511">
              <w:marLeft w:val="0"/>
              <w:marRight w:val="0"/>
              <w:marTop w:val="0"/>
              <w:marBottom w:val="0"/>
              <w:divBdr>
                <w:top w:val="none" w:sz="0" w:space="0" w:color="auto"/>
                <w:left w:val="none" w:sz="0" w:space="0" w:color="auto"/>
                <w:bottom w:val="none" w:sz="0" w:space="0" w:color="auto"/>
                <w:right w:val="none" w:sz="0" w:space="0" w:color="auto"/>
              </w:divBdr>
              <w:divsChild>
                <w:div w:id="1546024714">
                  <w:marLeft w:val="0"/>
                  <w:marRight w:val="0"/>
                  <w:marTop w:val="105"/>
                  <w:marBottom w:val="0"/>
                  <w:divBdr>
                    <w:top w:val="none" w:sz="0" w:space="0" w:color="auto"/>
                    <w:left w:val="none" w:sz="0" w:space="0" w:color="auto"/>
                    <w:bottom w:val="none" w:sz="0" w:space="0" w:color="auto"/>
                    <w:right w:val="none" w:sz="0" w:space="0" w:color="auto"/>
                  </w:divBdr>
                  <w:divsChild>
                    <w:div w:id="609699804">
                      <w:marLeft w:val="450"/>
                      <w:marRight w:val="225"/>
                      <w:marTop w:val="0"/>
                      <w:marBottom w:val="0"/>
                      <w:divBdr>
                        <w:top w:val="none" w:sz="0" w:space="0" w:color="auto"/>
                        <w:left w:val="none" w:sz="0" w:space="0" w:color="auto"/>
                        <w:bottom w:val="none" w:sz="0" w:space="0" w:color="auto"/>
                        <w:right w:val="none" w:sz="0" w:space="0" w:color="auto"/>
                      </w:divBdr>
                      <w:divsChild>
                        <w:div w:id="1318418121">
                          <w:marLeft w:val="0"/>
                          <w:marRight w:val="0"/>
                          <w:marTop w:val="0"/>
                          <w:marBottom w:val="600"/>
                          <w:divBdr>
                            <w:top w:val="single" w:sz="6" w:space="0" w:color="314664"/>
                            <w:left w:val="single" w:sz="6" w:space="0" w:color="314664"/>
                            <w:bottom w:val="single" w:sz="6" w:space="0" w:color="314664"/>
                            <w:right w:val="single" w:sz="6" w:space="0" w:color="314664"/>
                          </w:divBdr>
                          <w:divsChild>
                            <w:div w:id="313946482">
                              <w:marLeft w:val="0"/>
                              <w:marRight w:val="0"/>
                              <w:marTop w:val="0"/>
                              <w:marBottom w:val="0"/>
                              <w:divBdr>
                                <w:top w:val="none" w:sz="0" w:space="0" w:color="auto"/>
                                <w:left w:val="none" w:sz="0" w:space="0" w:color="auto"/>
                                <w:bottom w:val="none" w:sz="0" w:space="0" w:color="auto"/>
                                <w:right w:val="none" w:sz="0" w:space="0" w:color="auto"/>
                              </w:divBdr>
                              <w:divsChild>
                                <w:div w:id="1123885592">
                                  <w:marLeft w:val="0"/>
                                  <w:marRight w:val="0"/>
                                  <w:marTop w:val="0"/>
                                  <w:marBottom w:val="0"/>
                                  <w:divBdr>
                                    <w:top w:val="none" w:sz="0" w:space="0" w:color="auto"/>
                                    <w:left w:val="none" w:sz="0" w:space="0" w:color="auto"/>
                                    <w:bottom w:val="none" w:sz="0" w:space="0" w:color="auto"/>
                                    <w:right w:val="none" w:sz="0" w:space="0" w:color="auto"/>
                                  </w:divBdr>
                                  <w:divsChild>
                                    <w:div w:id="765535870">
                                      <w:marLeft w:val="0"/>
                                      <w:marRight w:val="0"/>
                                      <w:marTop w:val="0"/>
                                      <w:marBottom w:val="0"/>
                                      <w:divBdr>
                                        <w:top w:val="none" w:sz="0" w:space="0" w:color="auto"/>
                                        <w:left w:val="none" w:sz="0" w:space="0" w:color="auto"/>
                                        <w:bottom w:val="none" w:sz="0" w:space="0" w:color="auto"/>
                                        <w:right w:val="none" w:sz="0" w:space="0" w:color="auto"/>
                                      </w:divBdr>
                                      <w:divsChild>
                                        <w:div w:id="2101756473">
                                          <w:marLeft w:val="0"/>
                                          <w:marRight w:val="0"/>
                                          <w:marTop w:val="0"/>
                                          <w:marBottom w:val="0"/>
                                          <w:divBdr>
                                            <w:top w:val="none" w:sz="0" w:space="0" w:color="auto"/>
                                            <w:left w:val="none" w:sz="0" w:space="0" w:color="auto"/>
                                            <w:bottom w:val="none" w:sz="0" w:space="0" w:color="auto"/>
                                            <w:right w:val="none" w:sz="0" w:space="0" w:color="auto"/>
                                          </w:divBdr>
                                          <w:divsChild>
                                            <w:div w:id="294262959">
                                              <w:marLeft w:val="0"/>
                                              <w:marRight w:val="0"/>
                                              <w:marTop w:val="0"/>
                                              <w:marBottom w:val="0"/>
                                              <w:divBdr>
                                                <w:top w:val="none" w:sz="0" w:space="0" w:color="auto"/>
                                                <w:left w:val="none" w:sz="0" w:space="0" w:color="auto"/>
                                                <w:bottom w:val="none" w:sz="0" w:space="0" w:color="auto"/>
                                                <w:right w:val="none" w:sz="0" w:space="0" w:color="auto"/>
                                              </w:divBdr>
                                              <w:divsChild>
                                                <w:div w:id="1145392344">
                                                  <w:marLeft w:val="0"/>
                                                  <w:marRight w:val="0"/>
                                                  <w:marTop w:val="0"/>
                                                  <w:marBottom w:val="0"/>
                                                  <w:divBdr>
                                                    <w:top w:val="none" w:sz="0" w:space="0" w:color="auto"/>
                                                    <w:left w:val="none" w:sz="0" w:space="0" w:color="auto"/>
                                                    <w:bottom w:val="none" w:sz="0" w:space="0" w:color="auto"/>
                                                    <w:right w:val="none" w:sz="0" w:space="0" w:color="auto"/>
                                                  </w:divBdr>
                                                  <w:divsChild>
                                                    <w:div w:id="251284160">
                                                      <w:marLeft w:val="0"/>
                                                      <w:marRight w:val="0"/>
                                                      <w:marTop w:val="0"/>
                                                      <w:marBottom w:val="0"/>
                                                      <w:divBdr>
                                                        <w:top w:val="none" w:sz="0" w:space="0" w:color="auto"/>
                                                        <w:left w:val="none" w:sz="0" w:space="0" w:color="auto"/>
                                                        <w:bottom w:val="none" w:sz="0" w:space="0" w:color="auto"/>
                                                        <w:right w:val="none" w:sz="0" w:space="0" w:color="auto"/>
                                                      </w:divBdr>
                                                      <w:divsChild>
                                                        <w:div w:id="2137479735">
                                                          <w:marLeft w:val="0"/>
                                                          <w:marRight w:val="0"/>
                                                          <w:marTop w:val="0"/>
                                                          <w:marBottom w:val="0"/>
                                                          <w:divBdr>
                                                            <w:top w:val="none" w:sz="0" w:space="0" w:color="auto"/>
                                                            <w:left w:val="none" w:sz="0" w:space="0" w:color="auto"/>
                                                            <w:bottom w:val="none" w:sz="0" w:space="0" w:color="auto"/>
                                                            <w:right w:val="none" w:sz="0" w:space="0" w:color="auto"/>
                                                          </w:divBdr>
                                                          <w:divsChild>
                                                            <w:div w:id="1545487488">
                                                              <w:marLeft w:val="0"/>
                                                              <w:marRight w:val="0"/>
                                                              <w:marTop w:val="0"/>
                                                              <w:marBottom w:val="0"/>
                                                              <w:divBdr>
                                                                <w:top w:val="none" w:sz="0" w:space="0" w:color="auto"/>
                                                                <w:left w:val="none" w:sz="0" w:space="0" w:color="auto"/>
                                                                <w:bottom w:val="none" w:sz="0" w:space="0" w:color="auto"/>
                                                                <w:right w:val="none" w:sz="0" w:space="0" w:color="auto"/>
                                                              </w:divBdr>
                                                              <w:divsChild>
                                                                <w:div w:id="1809086938">
                                                                  <w:marLeft w:val="0"/>
                                                                  <w:marRight w:val="0"/>
                                                                  <w:marTop w:val="83"/>
                                                                  <w:marBottom w:val="0"/>
                                                                  <w:divBdr>
                                                                    <w:top w:val="none" w:sz="0" w:space="0" w:color="auto"/>
                                                                    <w:left w:val="none" w:sz="0" w:space="0" w:color="auto"/>
                                                                    <w:bottom w:val="none" w:sz="0" w:space="0" w:color="auto"/>
                                                                    <w:right w:val="none" w:sz="0" w:space="0" w:color="auto"/>
                                                                  </w:divBdr>
                                                                  <w:divsChild>
                                                                    <w:div w:id="1989935684">
                                                                      <w:marLeft w:val="0"/>
                                                                      <w:marRight w:val="0"/>
                                                                      <w:marTop w:val="0"/>
                                                                      <w:marBottom w:val="0"/>
                                                                      <w:divBdr>
                                                                        <w:top w:val="none" w:sz="0" w:space="0" w:color="auto"/>
                                                                        <w:left w:val="none" w:sz="0" w:space="0" w:color="auto"/>
                                                                        <w:bottom w:val="none" w:sz="0" w:space="0" w:color="auto"/>
                                                                        <w:right w:val="none" w:sz="0" w:space="0" w:color="auto"/>
                                                                      </w:divBdr>
                                                                      <w:divsChild>
                                                                        <w:div w:id="411045068">
                                                                          <w:marLeft w:val="0"/>
                                                                          <w:marRight w:val="0"/>
                                                                          <w:marTop w:val="83"/>
                                                                          <w:marBottom w:val="0"/>
                                                                          <w:divBdr>
                                                                            <w:top w:val="none" w:sz="0" w:space="0" w:color="auto"/>
                                                                            <w:left w:val="none" w:sz="0" w:space="0" w:color="auto"/>
                                                                            <w:bottom w:val="none" w:sz="0" w:space="0" w:color="auto"/>
                                                                            <w:right w:val="none" w:sz="0" w:space="0" w:color="auto"/>
                                                                          </w:divBdr>
                                                                        </w:div>
                                                                      </w:divsChild>
                                                                    </w:div>
                                                                    <w:div w:id="662319440">
                                                                      <w:marLeft w:val="0"/>
                                                                      <w:marRight w:val="0"/>
                                                                      <w:marTop w:val="0"/>
                                                                      <w:marBottom w:val="0"/>
                                                                      <w:divBdr>
                                                                        <w:top w:val="none" w:sz="0" w:space="0" w:color="auto"/>
                                                                        <w:left w:val="none" w:sz="0" w:space="0" w:color="auto"/>
                                                                        <w:bottom w:val="none" w:sz="0" w:space="0" w:color="auto"/>
                                                                        <w:right w:val="none" w:sz="0" w:space="0" w:color="auto"/>
                                                                      </w:divBdr>
                                                                      <w:divsChild>
                                                                        <w:div w:id="4221411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EMRecovery@dpmc.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vildefence.govt.nz/assets/Uploads/cdem-amendment-act-2016/Factsheet-Recording-use-of-transition-period-power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4819-DEFE-4878-9B0E-BB0D7EE2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Record powers exercised during local transition period </vt:lpstr>
    </vt:vector>
  </TitlesOfParts>
  <Manager/>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powers exercised during local transition period</dc:title>
  <dc:subject>Recovery</dc:subject>
  <dc:creator/>
  <cp:keywords>earthquake, response, recovery, transition, report, powers, template</cp:keywords>
  <dc:description>This template from MCDEM’s Recovery Toolkit aims to help CDEM Groups and local authorities prepare and support their communities to recover after an emergency, meet their legislative duties and elevate recovery preparedness across New Zealand. Please email MCDEMRecovery@dpmc.govt.nz with your feedback and suggestions.</dc:description>
  <cp:lastModifiedBy/>
  <cp:revision>1</cp:revision>
  <dcterms:created xsi:type="dcterms:W3CDTF">2019-06-30T22:22:00Z</dcterms:created>
  <dcterms:modified xsi:type="dcterms:W3CDTF">2019-06-30T22:22:00Z</dcterms:modified>
  <cp:contentStatus/>
</cp:coreProperties>
</file>