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9B1" w:rsidRPr="00101BE4" w:rsidRDefault="00101BE4" w:rsidP="00101BE4">
      <w:pPr>
        <w:pStyle w:val="Title"/>
        <w:rPr>
          <w:sz w:val="44"/>
        </w:rPr>
      </w:pPr>
      <w:bookmarkStart w:id="0" w:name="_GoBack"/>
      <w:bookmarkEnd w:id="0"/>
      <w:r w:rsidRPr="00101BE4">
        <w:rPr>
          <w:sz w:val="44"/>
        </w:rPr>
        <w:t>Central government support in recoveries</w:t>
      </w:r>
    </w:p>
    <w:p w:rsidR="00FE4EA6" w:rsidRDefault="007062A7" w:rsidP="00FE4EA6">
      <w:pPr>
        <w:pStyle w:val="Heading2NoNumbering"/>
      </w:pPr>
      <w:r>
        <w:t>What support does central g</w:t>
      </w:r>
      <w:r w:rsidR="00FE4EA6" w:rsidRPr="00101BE4">
        <w:t xml:space="preserve">overnment </w:t>
      </w:r>
      <w:r>
        <w:t>provide</w:t>
      </w:r>
      <w:r w:rsidR="00FE4EA6" w:rsidRPr="00101BE4">
        <w:t xml:space="preserve"> in recoveries</w:t>
      </w:r>
      <w:r>
        <w:t>?</w:t>
      </w:r>
    </w:p>
    <w:p w:rsidR="005F3117" w:rsidRPr="009E4551" w:rsidRDefault="005F3117" w:rsidP="005F3117">
      <w:pPr>
        <w:pStyle w:val="Bullet"/>
        <w:numPr>
          <w:ilvl w:val="0"/>
          <w:numId w:val="0"/>
        </w:numPr>
      </w:pPr>
      <w:r w:rsidRPr="009E4551">
        <w:t>Local government is responsible for restoring community services such as roading, water supplies and flood protection.</w:t>
      </w:r>
    </w:p>
    <w:p w:rsidR="005F3117" w:rsidRPr="009E4551" w:rsidRDefault="005F3117" w:rsidP="005F3117">
      <w:pPr>
        <w:pStyle w:val="Bullet"/>
        <w:numPr>
          <w:ilvl w:val="0"/>
          <w:numId w:val="0"/>
        </w:numPr>
      </w:pPr>
      <w:r w:rsidRPr="009E4551">
        <w:t xml:space="preserve">Central government is responsible for state highway restoration through </w:t>
      </w:r>
      <w:r>
        <w:t>NZ Transport Agency</w:t>
      </w:r>
      <w:r w:rsidRPr="009E4551">
        <w:t>.</w:t>
      </w:r>
    </w:p>
    <w:p w:rsidR="005F3117" w:rsidRDefault="005F3117" w:rsidP="005F3117">
      <w:r w:rsidRPr="009E4551">
        <w:t>Telecommunication and line companies are responsible for restoring phone and power supplies</w:t>
      </w:r>
      <w:r w:rsidR="008963D8">
        <w:t>.</w:t>
      </w:r>
    </w:p>
    <w:p w:rsidR="009E4551" w:rsidRDefault="00FE4EA6" w:rsidP="005F3117">
      <w:r w:rsidRPr="006B1209">
        <w:t xml:space="preserve">The initial and primary responsibility for paying for costs incurred during an emergency rests with the local community, local authorities and regional Civil Defence Emergency Management (CDEM) Groups. </w:t>
      </w:r>
      <w:r w:rsidR="005F3117" w:rsidRPr="006B1209">
        <w:t xml:space="preserve">Additionally, </w:t>
      </w:r>
      <w:r w:rsidR="00D92A3D">
        <w:t>g</w:t>
      </w:r>
      <w:r w:rsidR="005F3117" w:rsidRPr="006B1209">
        <w:t>overnment provides financial support to cover some response and recovery costs.</w:t>
      </w:r>
    </w:p>
    <w:p w:rsidR="00FE4EA6" w:rsidRDefault="00FE4EA6" w:rsidP="00FE4EA6">
      <w:r>
        <w:t xml:space="preserve">The information below provides information about government </w:t>
      </w:r>
      <w:r w:rsidR="009E4551">
        <w:t>funding and support for local authorities, communities and individuals recovering from an emergency</w:t>
      </w:r>
      <w:r>
        <w:t xml:space="preserve">. It excludes support during response, except where it is also available in </w:t>
      </w:r>
      <w:r w:rsidR="00D92A3D">
        <w:t>r</w:t>
      </w:r>
      <w:r>
        <w:t>ecovery.</w:t>
      </w:r>
    </w:p>
    <w:p w:rsidR="00EF48A4" w:rsidRPr="006B1209" w:rsidRDefault="00EF48A4" w:rsidP="00EF48A4">
      <w:pPr>
        <w:pStyle w:val="Heading2NoNumbering"/>
      </w:pPr>
      <w:r>
        <w:t>Support for individuals and families</w:t>
      </w:r>
    </w:p>
    <w:tbl>
      <w:tblPr>
        <w:tblStyle w:val="TableGrid"/>
        <w:tblW w:w="0" w:type="auto"/>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firstRow="1" w:lastRow="0" w:firstColumn="1" w:lastColumn="0" w:noHBand="0" w:noVBand="1"/>
      </w:tblPr>
      <w:tblGrid>
        <w:gridCol w:w="2584"/>
        <w:gridCol w:w="3161"/>
        <w:gridCol w:w="2381"/>
        <w:gridCol w:w="6707"/>
      </w:tblGrid>
      <w:tr w:rsidR="00A373CC" w:rsidRPr="00CA0B33" w:rsidTr="00A373CC">
        <w:trPr>
          <w:tblHeader/>
        </w:trPr>
        <w:tc>
          <w:tcPr>
            <w:tcW w:w="0" w:type="auto"/>
            <w:tcBorders>
              <w:top w:val="single" w:sz="12" w:space="0" w:color="005A9B" w:themeColor="background2"/>
              <w:bottom w:val="single" w:sz="6" w:space="0" w:color="005A9B" w:themeColor="background2"/>
              <w:right w:val="single" w:sz="4" w:space="0" w:color="FFFFFF" w:themeColor="background1"/>
            </w:tcBorders>
            <w:shd w:val="clear" w:color="auto" w:fill="005A9B" w:themeFill="background2"/>
          </w:tcPr>
          <w:p w:rsidR="00A373CC" w:rsidRPr="00CA0B33" w:rsidRDefault="00A373CC" w:rsidP="00241330">
            <w:pPr>
              <w:pStyle w:val="Tableheading"/>
              <w:widowControl w:val="0"/>
            </w:pPr>
            <w:r>
              <w:t>Agency</w:t>
            </w:r>
          </w:p>
        </w:tc>
        <w:tc>
          <w:tcPr>
            <w:tcW w:w="0" w:type="auto"/>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A373CC" w:rsidRDefault="00A373CC" w:rsidP="009856C6">
            <w:pPr>
              <w:pStyle w:val="Tableheading"/>
              <w:widowControl w:val="0"/>
            </w:pPr>
            <w:r>
              <w:t>Role in recovery</w:t>
            </w:r>
          </w:p>
        </w:tc>
        <w:tc>
          <w:tcPr>
            <w:tcW w:w="0" w:type="auto"/>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A373CC" w:rsidRDefault="00A373CC" w:rsidP="00241330">
            <w:pPr>
              <w:pStyle w:val="Tableheading"/>
              <w:widowControl w:val="0"/>
            </w:pPr>
            <w:r>
              <w:t xml:space="preserve">Recipient </w:t>
            </w:r>
          </w:p>
        </w:tc>
        <w:tc>
          <w:tcPr>
            <w:tcW w:w="0" w:type="auto"/>
            <w:tcBorders>
              <w:top w:val="single" w:sz="12" w:space="0" w:color="005A9B" w:themeColor="background2"/>
              <w:left w:val="single" w:sz="6" w:space="0" w:color="FFFFFF" w:themeColor="background1"/>
              <w:bottom w:val="single" w:sz="6" w:space="0" w:color="005A9B" w:themeColor="background2"/>
              <w:right w:val="single" w:sz="4" w:space="0" w:color="FFFFFF" w:themeColor="background1"/>
            </w:tcBorders>
            <w:shd w:val="clear" w:color="auto" w:fill="005A9B" w:themeFill="background2"/>
          </w:tcPr>
          <w:p w:rsidR="00A373CC" w:rsidRPr="00CA0B33" w:rsidRDefault="00A373CC" w:rsidP="00241330">
            <w:pPr>
              <w:pStyle w:val="Tableheading"/>
              <w:widowControl w:val="0"/>
            </w:pPr>
            <w:r>
              <w:t>Support</w:t>
            </w:r>
          </w:p>
        </w:tc>
      </w:tr>
      <w:tr w:rsidR="00A373CC" w:rsidTr="00A37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Pr>
          <w:p w:rsidR="00A373CC" w:rsidRPr="00152C3B" w:rsidRDefault="00A373CC" w:rsidP="00F67E77">
            <w:pPr>
              <w:pStyle w:val="TableText"/>
            </w:pPr>
            <w:r w:rsidRPr="00152C3B">
              <w:t>Ministry of Social Development (MSD)</w:t>
            </w:r>
          </w:p>
        </w:tc>
        <w:tc>
          <w:tcPr>
            <w:tcW w:w="0" w:type="auto"/>
          </w:tcPr>
          <w:p w:rsidR="00A373CC" w:rsidRDefault="00A373CC" w:rsidP="00F67E77">
            <w:pPr>
              <w:pStyle w:val="TableText"/>
            </w:pPr>
            <w:r>
              <w:t>Financial Assistance</w:t>
            </w:r>
          </w:p>
        </w:tc>
        <w:tc>
          <w:tcPr>
            <w:tcW w:w="0" w:type="auto"/>
          </w:tcPr>
          <w:p w:rsidR="00A373CC" w:rsidRDefault="00A373CC" w:rsidP="00F67E77">
            <w:pPr>
              <w:pStyle w:val="TableText"/>
            </w:pPr>
            <w:r>
              <w:t>Individuals</w:t>
            </w:r>
          </w:p>
        </w:tc>
        <w:tc>
          <w:tcPr>
            <w:tcW w:w="0" w:type="auto"/>
          </w:tcPr>
          <w:p w:rsidR="00A373CC" w:rsidRPr="001B0B66" w:rsidRDefault="00A373CC" w:rsidP="00F67E77">
            <w:pPr>
              <w:pStyle w:val="TableText"/>
              <w:rPr>
                <w:b/>
              </w:rPr>
            </w:pPr>
            <w:r w:rsidRPr="001B0B66">
              <w:rPr>
                <w:b/>
              </w:rPr>
              <w:t>Civil Defence Payments</w:t>
            </w:r>
          </w:p>
          <w:p w:rsidR="00A373CC" w:rsidRDefault="00A373CC" w:rsidP="00F67E77">
            <w:pPr>
              <w:pStyle w:val="TableText"/>
            </w:pPr>
            <w:r>
              <w:t>Payments may be made to people are affected by an emergency event where they</w:t>
            </w:r>
          </w:p>
          <w:p w:rsidR="00A373CC" w:rsidRDefault="00A373CC" w:rsidP="00F67E77">
            <w:pPr>
              <w:pStyle w:val="Tablebullet"/>
            </w:pPr>
            <w:r>
              <w:t>have to leave their home because of the emergency (eg they have been evacuated)</w:t>
            </w:r>
          </w:p>
          <w:p w:rsidR="00A373CC" w:rsidRDefault="00A373CC" w:rsidP="00F67E77">
            <w:pPr>
              <w:pStyle w:val="Tablebullet"/>
            </w:pPr>
            <w:r>
              <w:t>were away from their home at the time of the emergency and can’t return due to the emergency</w:t>
            </w:r>
          </w:p>
          <w:p w:rsidR="00A373CC" w:rsidRDefault="00A373CC" w:rsidP="00F67E77">
            <w:pPr>
              <w:pStyle w:val="Tablebullet"/>
            </w:pPr>
            <w:r>
              <w:t>have to remain in their home as a result of the emergency</w:t>
            </w:r>
          </w:p>
          <w:p w:rsidR="00A373CC" w:rsidRDefault="00A373CC" w:rsidP="00F67E77">
            <w:pPr>
              <w:pStyle w:val="Tablebullet"/>
            </w:pPr>
            <w:r>
              <w:t>can't go to work because of the emergency.</w:t>
            </w:r>
          </w:p>
          <w:p w:rsidR="00A373CC" w:rsidRDefault="00A373CC" w:rsidP="00F67E77">
            <w:pPr>
              <w:pStyle w:val="TableText"/>
            </w:pPr>
            <w:r>
              <w:t xml:space="preserve">See </w:t>
            </w:r>
            <w:hyperlink r:id="rId8" w:anchor="null" w:history="1">
              <w:r w:rsidRPr="00166085">
                <w:rPr>
                  <w:rStyle w:val="Hyperlink"/>
                </w:rPr>
                <w:t>Civil Defence Payment</w:t>
              </w:r>
            </w:hyperlink>
            <w:r>
              <w:rPr>
                <w:rStyle w:val="Hyperlink"/>
              </w:rPr>
              <w:t>s</w:t>
            </w:r>
          </w:p>
        </w:tc>
      </w:tr>
      <w:tr w:rsidR="00A373CC" w:rsidTr="00A37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Pr>
          <w:p w:rsidR="00A373CC" w:rsidRPr="00152C3B" w:rsidRDefault="00A373CC" w:rsidP="006B55B9">
            <w:pPr>
              <w:pStyle w:val="Tablenormal0"/>
            </w:pPr>
            <w:r w:rsidRPr="00152C3B">
              <w:t>Ministry of Social Development (MSD)</w:t>
            </w:r>
          </w:p>
        </w:tc>
        <w:tc>
          <w:tcPr>
            <w:tcW w:w="0" w:type="auto"/>
          </w:tcPr>
          <w:p w:rsidR="00A373CC" w:rsidRDefault="00A373CC" w:rsidP="006B55B9">
            <w:pPr>
              <w:pStyle w:val="Tablenormal0"/>
            </w:pPr>
            <w:r>
              <w:t>Financial Assistance</w:t>
            </w:r>
          </w:p>
        </w:tc>
        <w:tc>
          <w:tcPr>
            <w:tcW w:w="0" w:type="auto"/>
          </w:tcPr>
          <w:p w:rsidR="00A373CC" w:rsidRDefault="00A373CC" w:rsidP="006B55B9">
            <w:pPr>
              <w:pStyle w:val="Tablenormal0"/>
            </w:pPr>
            <w:r>
              <w:t>Individuals</w:t>
            </w:r>
          </w:p>
        </w:tc>
        <w:tc>
          <w:tcPr>
            <w:tcW w:w="0" w:type="auto"/>
          </w:tcPr>
          <w:p w:rsidR="00A373CC" w:rsidRPr="00166085" w:rsidRDefault="00A373CC" w:rsidP="006B55B9">
            <w:pPr>
              <w:pStyle w:val="Tablenormal0"/>
              <w:rPr>
                <w:rFonts w:cs="Arial"/>
                <w:color w:val="0000FF" w:themeColor="hyperlink"/>
                <w:u w:val="single"/>
              </w:rPr>
            </w:pPr>
            <w:r w:rsidRPr="00166085">
              <w:rPr>
                <w:rFonts w:cs="Arial"/>
              </w:rPr>
              <w:fldChar w:fldCharType="begin"/>
            </w:r>
            <w:r w:rsidRPr="00166085">
              <w:rPr>
                <w:rFonts w:cs="Arial"/>
              </w:rPr>
              <w:instrText xml:space="preserve"> HYPERLINK "https://www.workandincome.govt.nz/providers/responding-to-an-emergency/index.html" \l "null" </w:instrText>
            </w:r>
            <w:r w:rsidRPr="00166085">
              <w:rPr>
                <w:rFonts w:cs="Arial"/>
              </w:rPr>
              <w:fldChar w:fldCharType="separate"/>
            </w:r>
            <w:r w:rsidRPr="00166085">
              <w:rPr>
                <w:rFonts w:cs="Arial"/>
                <w:color w:val="0000FF"/>
                <w:u w:val="single"/>
              </w:rPr>
              <w:t>Emergency assistance</w:t>
            </w:r>
          </w:p>
          <w:p w:rsidR="00A373CC" w:rsidRDefault="00A373CC" w:rsidP="006B55B9">
            <w:pPr>
              <w:pStyle w:val="Tablenormal0"/>
              <w:rPr>
                <w:rFonts w:cs="Arial"/>
              </w:rPr>
            </w:pPr>
            <w:r w:rsidRPr="00166085">
              <w:rPr>
                <w:rFonts w:cs="Arial"/>
              </w:rPr>
              <w:fldChar w:fldCharType="end"/>
            </w:r>
            <w:r>
              <w:rPr>
                <w:rFonts w:cs="Arial"/>
              </w:rPr>
              <w:t>Several payments can help people</w:t>
            </w:r>
            <w:r w:rsidRPr="00166085">
              <w:rPr>
                <w:rFonts w:cs="Arial"/>
              </w:rPr>
              <w:t xml:space="preserve"> in, and after, an emergency. Not all are listed below so </w:t>
            </w:r>
            <w:r>
              <w:rPr>
                <w:rFonts w:cs="Arial"/>
              </w:rPr>
              <w:t>people should contact MSD</w:t>
            </w:r>
            <w:r w:rsidRPr="00166085">
              <w:rPr>
                <w:rFonts w:cs="Arial"/>
              </w:rPr>
              <w:t>.</w:t>
            </w:r>
          </w:p>
          <w:p w:rsidR="00A373CC" w:rsidRDefault="00FD595B" w:rsidP="006B55B9">
            <w:pPr>
              <w:pStyle w:val="Tablenormal0"/>
              <w:rPr>
                <w:rFonts w:cs="Arial"/>
              </w:rPr>
            </w:pPr>
            <w:hyperlink r:id="rId9" w:history="1">
              <w:r w:rsidR="00A373CC" w:rsidRPr="00166085">
                <w:rPr>
                  <w:rStyle w:val="Hyperlink"/>
                  <w:rFonts w:cs="Arial"/>
                </w:rPr>
                <w:t>Special Needs Grant</w:t>
              </w:r>
            </w:hyperlink>
            <w:r w:rsidR="00A373CC">
              <w:rPr>
                <w:rStyle w:val="Hyperlink"/>
                <w:rFonts w:cs="Arial"/>
              </w:rPr>
              <w:t xml:space="preserve">s </w:t>
            </w:r>
            <w:r w:rsidR="00A373CC" w:rsidRPr="00166085">
              <w:rPr>
                <w:rFonts w:cs="Arial"/>
              </w:rPr>
              <w:t xml:space="preserve">help </w:t>
            </w:r>
            <w:r w:rsidR="00A373CC">
              <w:rPr>
                <w:rFonts w:cs="Arial"/>
              </w:rPr>
              <w:t>people</w:t>
            </w:r>
            <w:r w:rsidR="00A373CC" w:rsidRPr="00166085">
              <w:rPr>
                <w:rFonts w:cs="Arial"/>
              </w:rPr>
              <w:t xml:space="preserve">, in certain circumstances, pay </w:t>
            </w:r>
            <w:r w:rsidR="00A373CC" w:rsidRPr="00166085">
              <w:rPr>
                <w:rFonts w:cs="Arial"/>
              </w:rPr>
              <w:lastRenderedPageBreak/>
              <w:t>for some</w:t>
            </w:r>
            <w:r w:rsidR="00A373CC">
              <w:rPr>
                <w:rFonts w:cs="Arial"/>
              </w:rPr>
              <w:t xml:space="preserve"> </w:t>
            </w:r>
            <w:r w:rsidR="00A373CC" w:rsidRPr="00166085">
              <w:rPr>
                <w:rFonts w:cs="Arial"/>
              </w:rPr>
              <w:t>thing</w:t>
            </w:r>
            <w:r w:rsidR="00A373CC">
              <w:rPr>
                <w:rFonts w:cs="Arial"/>
              </w:rPr>
              <w:t>s</w:t>
            </w:r>
            <w:r w:rsidR="00A373CC" w:rsidRPr="00166085">
              <w:rPr>
                <w:rFonts w:cs="Arial"/>
              </w:rPr>
              <w:t xml:space="preserve"> </w:t>
            </w:r>
            <w:r w:rsidR="00A373CC">
              <w:rPr>
                <w:rFonts w:cs="Arial"/>
              </w:rPr>
              <w:t>they</w:t>
            </w:r>
            <w:r w:rsidR="00A373CC" w:rsidRPr="00166085">
              <w:rPr>
                <w:rFonts w:cs="Arial"/>
              </w:rPr>
              <w:t xml:space="preserve"> </w:t>
            </w:r>
            <w:r w:rsidR="00A373CC">
              <w:rPr>
                <w:rFonts w:cs="Arial"/>
              </w:rPr>
              <w:t>have no other way of paying for</w:t>
            </w:r>
            <w:r w:rsidR="00A373CC" w:rsidRPr="00166085">
              <w:rPr>
                <w:rFonts w:cs="Arial"/>
              </w:rPr>
              <w:t>.</w:t>
            </w:r>
          </w:p>
          <w:p w:rsidR="00A373CC" w:rsidRPr="00166085" w:rsidRDefault="00FD595B" w:rsidP="006B55B9">
            <w:pPr>
              <w:pStyle w:val="Tablenormal0"/>
              <w:rPr>
                <w:rFonts w:cs="Arial"/>
              </w:rPr>
            </w:pPr>
            <w:hyperlink r:id="rId10" w:history="1">
              <w:r w:rsidR="00A373CC" w:rsidRPr="00166085">
                <w:rPr>
                  <w:rStyle w:val="Hyperlink"/>
                  <w:rFonts w:cs="Arial"/>
                </w:rPr>
                <w:t>Advance Payment of Benefit</w:t>
              </w:r>
            </w:hyperlink>
          </w:p>
          <w:p w:rsidR="00A373CC" w:rsidRDefault="00A373CC" w:rsidP="006B55B9">
            <w:pPr>
              <w:pStyle w:val="Tablenormal0"/>
              <w:rPr>
                <w:rFonts w:cs="Arial"/>
              </w:rPr>
            </w:pPr>
            <w:r w:rsidRPr="00166085">
              <w:rPr>
                <w:rFonts w:cs="Arial"/>
              </w:rPr>
              <w:t xml:space="preserve">If </w:t>
            </w:r>
            <w:r>
              <w:rPr>
                <w:rFonts w:cs="Arial"/>
              </w:rPr>
              <w:t xml:space="preserve">people </w:t>
            </w:r>
            <w:r w:rsidRPr="00166085">
              <w:rPr>
                <w:rFonts w:cs="Arial"/>
              </w:rPr>
              <w:t xml:space="preserve">getting a benefit have an immediate need for something essential, </w:t>
            </w:r>
            <w:r>
              <w:rPr>
                <w:rFonts w:cs="Arial"/>
              </w:rPr>
              <w:t>they</w:t>
            </w:r>
            <w:r w:rsidRPr="00166085">
              <w:rPr>
                <w:rFonts w:cs="Arial"/>
              </w:rPr>
              <w:t xml:space="preserve"> may be able to get an advance payment.</w:t>
            </w:r>
          </w:p>
          <w:p w:rsidR="00A373CC" w:rsidRPr="009F5D07" w:rsidRDefault="00FD595B" w:rsidP="006B55B9">
            <w:pPr>
              <w:pStyle w:val="Tablenormal0"/>
              <w:rPr>
                <w:rFonts w:cs="Arial"/>
              </w:rPr>
            </w:pPr>
            <w:hyperlink r:id="rId11" w:history="1">
              <w:r w:rsidR="00A373CC" w:rsidRPr="00166085">
                <w:rPr>
                  <w:rStyle w:val="Hyperlink"/>
                  <w:rFonts w:cs="Arial"/>
                </w:rPr>
                <w:t>Recoverable Assistance</w:t>
              </w:r>
            </w:hyperlink>
            <w:r w:rsidR="00A373CC">
              <w:rPr>
                <w:rStyle w:val="Hyperlink"/>
                <w:rFonts w:cs="Arial"/>
              </w:rPr>
              <w:t xml:space="preserve"> </w:t>
            </w:r>
            <w:r w:rsidR="00A373CC" w:rsidRPr="00166085">
              <w:rPr>
                <w:rFonts w:cs="Arial"/>
              </w:rPr>
              <w:t xml:space="preserve">helps </w:t>
            </w:r>
            <w:r w:rsidR="00A373CC">
              <w:rPr>
                <w:rFonts w:cs="Arial"/>
              </w:rPr>
              <w:t>people</w:t>
            </w:r>
            <w:r w:rsidR="00A373CC" w:rsidRPr="00166085">
              <w:rPr>
                <w:rFonts w:cs="Arial"/>
              </w:rPr>
              <w:t xml:space="preserve"> pay for something </w:t>
            </w:r>
            <w:r w:rsidR="00A373CC">
              <w:rPr>
                <w:rFonts w:cs="Arial"/>
              </w:rPr>
              <w:t>they</w:t>
            </w:r>
            <w:r w:rsidR="00A373CC" w:rsidRPr="00166085">
              <w:rPr>
                <w:rFonts w:cs="Arial"/>
              </w:rPr>
              <w:t xml:space="preserve"> need urgently when </w:t>
            </w:r>
            <w:r w:rsidR="00A373CC">
              <w:rPr>
                <w:rFonts w:cs="Arial"/>
              </w:rPr>
              <w:t>they</w:t>
            </w:r>
            <w:r w:rsidR="00A373CC" w:rsidRPr="00166085">
              <w:rPr>
                <w:rFonts w:cs="Arial"/>
              </w:rPr>
              <w:t xml:space="preserve"> have no other way of paying for it.</w:t>
            </w:r>
          </w:p>
        </w:tc>
      </w:tr>
      <w:tr w:rsidR="00A373CC" w:rsidTr="00A37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Pr>
          <w:p w:rsidR="00A373CC" w:rsidRPr="00152C3B" w:rsidRDefault="00A373CC" w:rsidP="006B55B9">
            <w:pPr>
              <w:widowControl w:val="0"/>
            </w:pPr>
            <w:r w:rsidRPr="00152C3B">
              <w:lastRenderedPageBreak/>
              <w:t>I</w:t>
            </w:r>
            <w:r>
              <w:t>nland Revenue Department (I</w:t>
            </w:r>
            <w:r w:rsidRPr="00152C3B">
              <w:t>RD</w:t>
            </w:r>
            <w:r>
              <w:t>)</w:t>
            </w:r>
          </w:p>
        </w:tc>
        <w:tc>
          <w:tcPr>
            <w:tcW w:w="0" w:type="auto"/>
          </w:tcPr>
          <w:p w:rsidR="00A373CC" w:rsidRDefault="00A373CC" w:rsidP="006B55B9">
            <w:pPr>
              <w:widowControl w:val="0"/>
            </w:pPr>
            <w:r>
              <w:t>Tax relief and income assistance for people affected by extreme weather</w:t>
            </w:r>
          </w:p>
        </w:tc>
        <w:tc>
          <w:tcPr>
            <w:tcW w:w="0" w:type="auto"/>
          </w:tcPr>
          <w:p w:rsidR="00A373CC" w:rsidRDefault="00A373CC" w:rsidP="006B55B9">
            <w:pPr>
              <w:widowControl w:val="0"/>
            </w:pPr>
            <w:r>
              <w:t>Individuals</w:t>
            </w:r>
          </w:p>
        </w:tc>
        <w:tc>
          <w:tcPr>
            <w:tcW w:w="0" w:type="auto"/>
          </w:tcPr>
          <w:p w:rsidR="00A373CC" w:rsidRDefault="00A373CC" w:rsidP="006B55B9">
            <w:pPr>
              <w:widowControl w:val="0"/>
            </w:pPr>
            <w:r>
              <w:t xml:space="preserve">Tax relief and income assistance is available to people affected by extreme weather, eg storms, floods and droughts and natural disasters </w:t>
            </w:r>
          </w:p>
          <w:p w:rsidR="00A373CC" w:rsidRDefault="00A373CC" w:rsidP="006B55B9">
            <w:pPr>
              <w:widowControl w:val="0"/>
            </w:pPr>
            <w:r>
              <w:t xml:space="preserve">See </w:t>
            </w:r>
            <w:hyperlink r:id="rId12" w:history="1">
              <w:r w:rsidRPr="003874DD">
                <w:rPr>
                  <w:rStyle w:val="Hyperlink"/>
                </w:rPr>
                <w:t>Tax relief - extreme weather and natural disasters</w:t>
              </w:r>
            </w:hyperlink>
          </w:p>
        </w:tc>
      </w:tr>
      <w:tr w:rsidR="00A373CC" w:rsidTr="00A37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Pr>
          <w:p w:rsidR="00A373CC" w:rsidRPr="00152C3B" w:rsidRDefault="00A373CC" w:rsidP="006B55B9">
            <w:pPr>
              <w:widowControl w:val="0"/>
            </w:pPr>
            <w:r w:rsidRPr="00152C3B">
              <w:t>I</w:t>
            </w:r>
            <w:r>
              <w:t>nland Revenue Department (I</w:t>
            </w:r>
            <w:r w:rsidRPr="00152C3B">
              <w:t>RD</w:t>
            </w:r>
            <w:r>
              <w:t>)</w:t>
            </w:r>
          </w:p>
        </w:tc>
        <w:tc>
          <w:tcPr>
            <w:tcW w:w="0" w:type="auto"/>
          </w:tcPr>
          <w:p w:rsidR="00A373CC" w:rsidRDefault="00A373CC" w:rsidP="006B55B9">
            <w:pPr>
              <w:widowControl w:val="0"/>
            </w:pPr>
          </w:p>
        </w:tc>
        <w:tc>
          <w:tcPr>
            <w:tcW w:w="0" w:type="auto"/>
          </w:tcPr>
          <w:p w:rsidR="00A373CC" w:rsidRDefault="00A373CC" w:rsidP="006B55B9">
            <w:pPr>
              <w:widowControl w:val="0"/>
            </w:pPr>
            <w:r>
              <w:t>Individuals</w:t>
            </w:r>
          </w:p>
        </w:tc>
        <w:tc>
          <w:tcPr>
            <w:tcW w:w="0" w:type="auto"/>
          </w:tcPr>
          <w:p w:rsidR="00A373CC" w:rsidRDefault="00A373CC" w:rsidP="002F7D69">
            <w:pPr>
              <w:pStyle w:val="Tablenormal0"/>
              <w:rPr>
                <w:b/>
              </w:rPr>
            </w:pPr>
            <w:r w:rsidRPr="002F7D69">
              <w:rPr>
                <w:b/>
              </w:rPr>
              <w:t>KiwiSaver holidays</w:t>
            </w:r>
          </w:p>
          <w:p w:rsidR="00A373CC" w:rsidRPr="002F7D69" w:rsidRDefault="00A373CC" w:rsidP="004E6A68">
            <w:pPr>
              <w:pStyle w:val="Tablenormal0"/>
              <w:rPr>
                <w:rFonts w:ascii="Verdana" w:hAnsi="Verdana"/>
                <w:sz w:val="20"/>
                <w:szCs w:val="20"/>
              </w:rPr>
            </w:pPr>
            <w:r>
              <w:rPr>
                <w:rFonts w:ascii="Verdana" w:hAnsi="Verdana"/>
                <w:sz w:val="20"/>
                <w:szCs w:val="20"/>
              </w:rPr>
              <w:t xml:space="preserve">See </w:t>
            </w:r>
            <w:bookmarkStart w:id="1" w:name="contentStart"/>
            <w:bookmarkEnd w:id="1"/>
            <w:r>
              <w:fldChar w:fldCharType="begin"/>
            </w:r>
            <w:r>
              <w:instrText xml:space="preserve"> HYPERLINK "https://www.ird.govt.nz/forms-guides/number/forms-001-99/ks06-form-ks-contributions-holiday-request.html" </w:instrText>
            </w:r>
            <w:r>
              <w:fldChar w:fldCharType="separate"/>
            </w:r>
            <w:r w:rsidRPr="004E6A68">
              <w:rPr>
                <w:rStyle w:val="Hyperlink"/>
              </w:rPr>
              <w:t>Contributions holiday request form</w:t>
            </w:r>
            <w:r>
              <w:fldChar w:fldCharType="end"/>
            </w:r>
          </w:p>
        </w:tc>
      </w:tr>
      <w:tr w:rsidR="00A373CC" w:rsidTr="00A37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Pr>
          <w:p w:rsidR="00A373CC" w:rsidRPr="00D92A3D" w:rsidRDefault="00A373CC" w:rsidP="006B55B9">
            <w:pPr>
              <w:pStyle w:val="Tablenormal0"/>
            </w:pPr>
            <w:r w:rsidRPr="00D92A3D">
              <w:t>Ministry of Health</w:t>
            </w:r>
          </w:p>
        </w:tc>
        <w:tc>
          <w:tcPr>
            <w:tcW w:w="0" w:type="auto"/>
          </w:tcPr>
          <w:p w:rsidR="00A373CC" w:rsidRPr="00D92A3D" w:rsidRDefault="00A373CC" w:rsidP="006B55B9">
            <w:pPr>
              <w:pStyle w:val="Tablenormal0"/>
            </w:pPr>
            <w:r w:rsidRPr="00D92A3D">
              <w:t>Individual and public health</w:t>
            </w:r>
          </w:p>
        </w:tc>
        <w:tc>
          <w:tcPr>
            <w:tcW w:w="0" w:type="auto"/>
          </w:tcPr>
          <w:p w:rsidR="00A373CC" w:rsidRPr="00D92A3D" w:rsidRDefault="00A373CC" w:rsidP="006B55B9">
            <w:pPr>
              <w:pStyle w:val="Tablenormal0"/>
            </w:pPr>
            <w:r w:rsidRPr="00D92A3D">
              <w:t xml:space="preserve">Individuals </w:t>
            </w:r>
          </w:p>
        </w:tc>
        <w:tc>
          <w:tcPr>
            <w:tcW w:w="0" w:type="auto"/>
          </w:tcPr>
          <w:p w:rsidR="00A373CC" w:rsidRDefault="00A373CC" w:rsidP="006B55B9">
            <w:pPr>
              <w:pStyle w:val="Tablenormal0"/>
            </w:pPr>
            <w:r w:rsidRPr="001B0B66">
              <w:rPr>
                <w:b/>
              </w:rPr>
              <w:t>Access to health services</w:t>
            </w:r>
          </w:p>
          <w:p w:rsidR="00A373CC" w:rsidRDefault="00A373CC" w:rsidP="006B55B9">
            <w:pPr>
              <w:pStyle w:val="Tablebullet"/>
            </w:pPr>
            <w:r w:rsidRPr="00D92A3D">
              <w:t>Enhanced access to primary care services, typically through a time limited redu</w:t>
            </w:r>
            <w:r>
              <w:t>ction or removal of co-payments</w:t>
            </w:r>
          </w:p>
          <w:p w:rsidR="00A373CC" w:rsidRPr="00D92A3D" w:rsidRDefault="00A373CC" w:rsidP="006B55B9">
            <w:pPr>
              <w:pStyle w:val="Tablebullet"/>
            </w:pPr>
            <w:r>
              <w:t>A</w:t>
            </w:r>
            <w:r w:rsidRPr="00D92A3D">
              <w:t>dditional services, such as navigators, where appropriate</w:t>
            </w:r>
            <w:r>
              <w:t>,</w:t>
            </w:r>
            <w:r w:rsidRPr="00D92A3D">
              <w:t xml:space="preserve"> to enhance access to health services including, acute mental health services.</w:t>
            </w:r>
          </w:p>
          <w:p w:rsidR="00A373CC" w:rsidRPr="00D92A3D" w:rsidRDefault="00A373CC" w:rsidP="006B55B9">
            <w:pPr>
              <w:pStyle w:val="Tablebullet"/>
            </w:pPr>
            <w:r w:rsidRPr="00D92A3D">
              <w:t>Healthline and supporting online services provide alternative assessment and access pathways to health services.</w:t>
            </w:r>
          </w:p>
        </w:tc>
      </w:tr>
      <w:tr w:rsidR="00A373CC" w:rsidTr="00A37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Pr>
          <w:p w:rsidR="00A373CC" w:rsidRPr="00152C3B" w:rsidRDefault="00A373CC" w:rsidP="006B55B9">
            <w:pPr>
              <w:pStyle w:val="Tablenormal0"/>
            </w:pPr>
            <w:r w:rsidRPr="00152C3B">
              <w:t>I</w:t>
            </w:r>
            <w:r>
              <w:t>nland Revenue Department (I</w:t>
            </w:r>
            <w:r w:rsidRPr="00152C3B">
              <w:t>RD</w:t>
            </w:r>
            <w:r>
              <w:t>)</w:t>
            </w:r>
          </w:p>
        </w:tc>
        <w:tc>
          <w:tcPr>
            <w:tcW w:w="0" w:type="auto"/>
          </w:tcPr>
          <w:p w:rsidR="00A373CC" w:rsidRDefault="00A373CC" w:rsidP="006B55B9">
            <w:pPr>
              <w:pStyle w:val="Tablenormal0"/>
            </w:pPr>
            <w:r>
              <w:t>Tax assistance for people affected by civil defence emergencies</w:t>
            </w:r>
          </w:p>
        </w:tc>
        <w:tc>
          <w:tcPr>
            <w:tcW w:w="0" w:type="auto"/>
          </w:tcPr>
          <w:p w:rsidR="00A373CC" w:rsidRPr="00CA0B33" w:rsidRDefault="00A373CC" w:rsidP="006B55B9">
            <w:pPr>
              <w:pStyle w:val="Tablenormal0"/>
            </w:pPr>
            <w:r>
              <w:t>Families and individuals</w:t>
            </w:r>
          </w:p>
        </w:tc>
        <w:tc>
          <w:tcPr>
            <w:tcW w:w="0" w:type="auto"/>
          </w:tcPr>
          <w:p w:rsidR="00A373CC" w:rsidRPr="00723308" w:rsidRDefault="00A373CC" w:rsidP="006B55B9">
            <w:pPr>
              <w:pStyle w:val="Tablenormal0"/>
              <w:rPr>
                <w:b/>
              </w:rPr>
            </w:pPr>
            <w:r w:rsidRPr="00723308">
              <w:rPr>
                <w:b/>
              </w:rPr>
              <w:t>Working for Families</w:t>
            </w:r>
          </w:p>
          <w:p w:rsidR="00A373CC" w:rsidRDefault="00A373CC" w:rsidP="006B55B9">
            <w:pPr>
              <w:pStyle w:val="Tablenormal0"/>
            </w:pPr>
            <w:r>
              <w:t xml:space="preserve">People whose income has changed because of an adverse event may be eligible to receive money through Working for Families. </w:t>
            </w:r>
          </w:p>
          <w:p w:rsidR="00A373CC" w:rsidRDefault="00A373CC" w:rsidP="006B55B9">
            <w:pPr>
              <w:pStyle w:val="Tablenormal0"/>
            </w:pPr>
            <w:r>
              <w:t>Working For Families Tax Credits are paid to families with children aged 18 years or under to help with the cost of raising a family: family tax credit, in-work tax credit, minimum family tax credit and parental tax credit.</w:t>
            </w:r>
          </w:p>
          <w:p w:rsidR="00A373CC" w:rsidRDefault="00A373CC" w:rsidP="006B55B9">
            <w:pPr>
              <w:pStyle w:val="Tablenormal0"/>
            </w:pPr>
            <w:r>
              <w:t xml:space="preserve">Childcare Assistance can help with the cost of childcare for preschool and school aged children: Childcare subsidy and OSCAR </w:t>
            </w:r>
            <w:r>
              <w:lastRenderedPageBreak/>
              <w:t>subsidy (out of school care).</w:t>
            </w:r>
          </w:p>
          <w:p w:rsidR="00A373CC" w:rsidRDefault="00A373CC" w:rsidP="006B55B9">
            <w:pPr>
              <w:pStyle w:val="Tablenormal0"/>
            </w:pPr>
            <w:r>
              <w:t xml:space="preserve">Accommodation Supplements can help with the cost of rent, mortgage, board and other essential household costs. </w:t>
            </w:r>
          </w:p>
          <w:p w:rsidR="00A373CC" w:rsidRPr="00CA0B33" w:rsidRDefault="00A373CC" w:rsidP="006B55B9">
            <w:pPr>
              <w:pStyle w:val="Tablenormal0"/>
            </w:pPr>
            <w:r>
              <w:t xml:space="preserve">See </w:t>
            </w:r>
            <w:hyperlink r:id="rId13" w:history="1">
              <w:r w:rsidRPr="00B527C0">
                <w:rPr>
                  <w:rStyle w:val="Hyperlink"/>
                </w:rPr>
                <w:t>Working for Families</w:t>
              </w:r>
            </w:hyperlink>
          </w:p>
        </w:tc>
      </w:tr>
      <w:tr w:rsidR="00A373CC" w:rsidTr="00A37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Pr>
          <w:p w:rsidR="00A373CC" w:rsidRPr="00152C3B" w:rsidRDefault="00A373CC" w:rsidP="006B55B9">
            <w:pPr>
              <w:widowControl w:val="0"/>
            </w:pPr>
            <w:r w:rsidRPr="00152C3B">
              <w:lastRenderedPageBreak/>
              <w:t xml:space="preserve">Ministry of Business, Innovation and Employment (MBIE) </w:t>
            </w:r>
          </w:p>
        </w:tc>
        <w:tc>
          <w:tcPr>
            <w:tcW w:w="0" w:type="auto"/>
          </w:tcPr>
          <w:p w:rsidR="00A373CC" w:rsidRPr="00CA0B33" w:rsidRDefault="00A373CC" w:rsidP="006B55B9">
            <w:pPr>
              <w:widowControl w:val="0"/>
            </w:pPr>
            <w:r>
              <w:t>T</w:t>
            </w:r>
            <w:r w:rsidRPr="0016781A">
              <w:t>emporary accommodation</w:t>
            </w:r>
          </w:p>
        </w:tc>
        <w:tc>
          <w:tcPr>
            <w:tcW w:w="0" w:type="auto"/>
          </w:tcPr>
          <w:p w:rsidR="00A373CC" w:rsidRPr="00CA0B33" w:rsidRDefault="00A373CC" w:rsidP="006B55B9">
            <w:pPr>
              <w:widowControl w:val="0"/>
            </w:pPr>
            <w:r>
              <w:t>Families</w:t>
            </w:r>
          </w:p>
        </w:tc>
        <w:tc>
          <w:tcPr>
            <w:tcW w:w="0" w:type="auto"/>
          </w:tcPr>
          <w:p w:rsidR="00A373CC" w:rsidRDefault="00A373CC" w:rsidP="006B55B9">
            <w:pPr>
              <w:widowControl w:val="0"/>
            </w:pPr>
            <w:r w:rsidRPr="0016781A">
              <w:t xml:space="preserve">The Temporary Accommodation Service </w:t>
            </w:r>
            <w:r>
              <w:t>(TAS) helps</w:t>
            </w:r>
            <w:r w:rsidRPr="0016781A">
              <w:t xml:space="preserve"> households affected by a natural disaster find safe, secure and accessible temporary accommodation while their home is repaired</w:t>
            </w:r>
            <w:r>
              <w:t xml:space="preserve">. </w:t>
            </w:r>
          </w:p>
          <w:p w:rsidR="00A373CC" w:rsidRPr="00CA0B33" w:rsidRDefault="00A373CC" w:rsidP="006B55B9">
            <w:pPr>
              <w:widowControl w:val="0"/>
            </w:pPr>
            <w:r>
              <w:t>See</w:t>
            </w:r>
            <w:r w:rsidRPr="0016781A">
              <w:t xml:space="preserve"> </w:t>
            </w:r>
            <w:hyperlink r:id="rId14" w:history="1">
              <w:r w:rsidRPr="000949EF">
                <w:rPr>
                  <w:rStyle w:val="Hyperlink"/>
                </w:rPr>
                <w:t>Temporary Accommodation Service</w:t>
              </w:r>
            </w:hyperlink>
            <w:r>
              <w:t xml:space="preserve"> </w:t>
            </w:r>
          </w:p>
        </w:tc>
      </w:tr>
      <w:tr w:rsidR="00A373CC" w:rsidTr="00A37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Pr>
          <w:p w:rsidR="00A373CC" w:rsidRPr="00152C3B" w:rsidRDefault="00A373CC" w:rsidP="00E036B7">
            <w:pPr>
              <w:widowControl w:val="0"/>
            </w:pPr>
            <w:r w:rsidRPr="00152C3B">
              <w:t xml:space="preserve">Ministry of Business, Innovation and Employment (MBIE) </w:t>
            </w:r>
          </w:p>
        </w:tc>
        <w:tc>
          <w:tcPr>
            <w:tcW w:w="0" w:type="auto"/>
          </w:tcPr>
          <w:p w:rsidR="00A373CC" w:rsidRPr="00CA0B33" w:rsidRDefault="00A373CC" w:rsidP="00E036B7">
            <w:pPr>
              <w:widowControl w:val="0"/>
            </w:pPr>
            <w:r>
              <w:t>Residential Advisory Services</w:t>
            </w:r>
          </w:p>
        </w:tc>
        <w:tc>
          <w:tcPr>
            <w:tcW w:w="0" w:type="auto"/>
          </w:tcPr>
          <w:p w:rsidR="00A373CC" w:rsidRPr="00CA0B33" w:rsidRDefault="00A373CC" w:rsidP="00E036B7">
            <w:pPr>
              <w:widowControl w:val="0"/>
            </w:pPr>
            <w:r>
              <w:t>Families</w:t>
            </w:r>
          </w:p>
        </w:tc>
        <w:tc>
          <w:tcPr>
            <w:tcW w:w="0" w:type="auto"/>
          </w:tcPr>
          <w:p w:rsidR="00A373CC" w:rsidRPr="009A178E" w:rsidRDefault="00A373CC" w:rsidP="00E036B7">
            <w:pPr>
              <w:widowControl w:val="0"/>
              <w:rPr>
                <w:rFonts w:cs="Arial"/>
              </w:rPr>
            </w:pPr>
            <w:r w:rsidRPr="009A178E">
              <w:rPr>
                <w:rFonts w:cs="Arial"/>
              </w:rPr>
              <w:t>RAS supports homeowners with insurance issues following a civil emergency through a case management structure, giving homeowners free access to specialist advice and assistance.</w:t>
            </w:r>
          </w:p>
          <w:p w:rsidR="00A373CC" w:rsidRPr="009A178E" w:rsidRDefault="00A373CC" w:rsidP="00FE39C1">
            <w:pPr>
              <w:widowControl w:val="0"/>
            </w:pPr>
            <w:r>
              <w:t xml:space="preserve">See </w:t>
            </w:r>
            <w:hyperlink r:id="rId15" w:history="1">
              <w:r w:rsidRPr="009A178E">
                <w:rPr>
                  <w:rStyle w:val="Hyperlink"/>
                </w:rPr>
                <w:t>Residential Advisory Services</w:t>
              </w:r>
            </w:hyperlink>
          </w:p>
        </w:tc>
      </w:tr>
      <w:tr w:rsidR="00A373CC" w:rsidTr="00A37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Pr>
          <w:p w:rsidR="00A373CC" w:rsidRPr="00C65499" w:rsidRDefault="00A373CC" w:rsidP="00E036B7">
            <w:pPr>
              <w:pStyle w:val="Tablenormal0"/>
              <w:rPr>
                <w:b/>
              </w:rPr>
            </w:pPr>
            <w:r>
              <w:t>Ministry for Primary Industries (</w:t>
            </w:r>
            <w:r w:rsidRPr="00152C3B">
              <w:t>MPI</w:t>
            </w:r>
            <w:r>
              <w:t>)</w:t>
            </w:r>
          </w:p>
        </w:tc>
        <w:tc>
          <w:tcPr>
            <w:tcW w:w="0" w:type="auto"/>
          </w:tcPr>
          <w:p w:rsidR="00A373CC" w:rsidRDefault="00A373CC" w:rsidP="00E036B7">
            <w:pPr>
              <w:pStyle w:val="Tablenormal0"/>
            </w:pPr>
            <w:r>
              <w:t>Coordinates animal welfare sub-function</w:t>
            </w:r>
          </w:p>
        </w:tc>
        <w:tc>
          <w:tcPr>
            <w:tcW w:w="0" w:type="auto"/>
          </w:tcPr>
          <w:p w:rsidR="00A373CC" w:rsidRDefault="00A373CC" w:rsidP="00E036B7">
            <w:pPr>
              <w:pStyle w:val="Tablenormal0"/>
            </w:pPr>
            <w:r>
              <w:t xml:space="preserve">Animal owners and persons in charge of animals </w:t>
            </w:r>
          </w:p>
        </w:tc>
        <w:tc>
          <w:tcPr>
            <w:tcW w:w="0" w:type="auto"/>
          </w:tcPr>
          <w:p w:rsidR="00A373CC" w:rsidRDefault="00A373CC" w:rsidP="00E036B7">
            <w:pPr>
              <w:pStyle w:val="Tablenormal0"/>
            </w:pPr>
            <w:r>
              <w:t>Supports agencies to deliver animal welfare services and coordinates animal welfare services for all animals.</w:t>
            </w:r>
          </w:p>
          <w:p w:rsidR="00A373CC" w:rsidRDefault="00A373CC" w:rsidP="00E036B7">
            <w:pPr>
              <w:pStyle w:val="Tablenormal0"/>
            </w:pPr>
            <w:r>
              <w:t xml:space="preserve">See </w:t>
            </w:r>
            <w:hyperlink r:id="rId16" w:history="1">
              <w:r w:rsidRPr="003A54AB">
                <w:rPr>
                  <w:rStyle w:val="Hyperlink"/>
                </w:rPr>
                <w:t>The Guide to the National Civil Defence Emergency Management Plan</w:t>
              </w:r>
            </w:hyperlink>
            <w:r>
              <w:t xml:space="preserve"> </w:t>
            </w:r>
          </w:p>
        </w:tc>
      </w:tr>
      <w:tr w:rsidR="00A373CC" w:rsidTr="00A37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hideMark/>
          </w:tcPr>
          <w:p w:rsidR="00A373CC" w:rsidRPr="00BE0283" w:rsidRDefault="00A373CC" w:rsidP="00E036B7">
            <w:pPr>
              <w:pStyle w:val="Tablenormal0"/>
            </w:pPr>
            <w:r w:rsidRPr="00BE0283">
              <w:t>EQC</w:t>
            </w:r>
          </w:p>
        </w:tc>
        <w:tc>
          <w:tcPr>
            <w:tcW w:w="0" w:type="auto"/>
          </w:tcPr>
          <w:p w:rsidR="00A373CC" w:rsidRPr="00BE0283" w:rsidRDefault="00A373CC" w:rsidP="00E036B7">
            <w:pPr>
              <w:pStyle w:val="Tablenormal0"/>
              <w:rPr>
                <w:rFonts w:eastAsia="Times New Roman"/>
                <w:lang w:eastAsia="en-NZ"/>
              </w:rPr>
            </w:pPr>
            <w:r w:rsidRPr="00BE0283">
              <w:t>Insurance coverage and claims settlements</w:t>
            </w:r>
          </w:p>
        </w:tc>
        <w:tc>
          <w:tcPr>
            <w:tcW w:w="0" w:type="auto"/>
          </w:tcPr>
          <w:p w:rsidR="00A373CC" w:rsidRPr="00BE0283" w:rsidRDefault="00A373CC" w:rsidP="00E036B7">
            <w:pPr>
              <w:pStyle w:val="Tablenormal0"/>
            </w:pPr>
            <w:r w:rsidRPr="00BE0283">
              <w:t>Homeowners</w:t>
            </w:r>
          </w:p>
        </w:tc>
        <w:tc>
          <w:tcPr>
            <w:tcW w:w="0" w:type="auto"/>
          </w:tcPr>
          <w:p w:rsidR="00A373CC" w:rsidRPr="00A70084" w:rsidRDefault="00A373CC" w:rsidP="00E036B7">
            <w:pPr>
              <w:pStyle w:val="Tablenormal0"/>
              <w:rPr>
                <w:rFonts w:cs="Arial"/>
                <w:b/>
                <w:sz w:val="21"/>
                <w:szCs w:val="21"/>
              </w:rPr>
            </w:pPr>
            <w:r w:rsidRPr="00A70084">
              <w:rPr>
                <w:rFonts w:cs="Arial"/>
                <w:b/>
                <w:sz w:val="21"/>
                <w:szCs w:val="21"/>
              </w:rPr>
              <w:t xml:space="preserve">EQCover </w:t>
            </w:r>
          </w:p>
          <w:p w:rsidR="00A373CC" w:rsidRPr="00BE0283" w:rsidRDefault="00A373CC" w:rsidP="00E036B7">
            <w:pPr>
              <w:pStyle w:val="Tablenormal0"/>
              <w:rPr>
                <w:rFonts w:cs="Arial"/>
                <w:sz w:val="21"/>
                <w:szCs w:val="21"/>
              </w:rPr>
            </w:pPr>
            <w:r w:rsidRPr="00BE0283">
              <w:t xml:space="preserve">Homeowners </w:t>
            </w:r>
            <w:r w:rsidRPr="00BE0283">
              <w:rPr>
                <w:rFonts w:cs="Arial"/>
                <w:sz w:val="21"/>
                <w:szCs w:val="21"/>
              </w:rPr>
              <w:t>automatically have EQCover for home, land and contents if they have a current private insurance policy for home or for contents that includes fire insurance</w:t>
            </w:r>
            <w:r>
              <w:rPr>
                <w:rFonts w:cs="Arial"/>
                <w:sz w:val="21"/>
                <w:szCs w:val="21"/>
              </w:rPr>
              <w:t>.</w:t>
            </w:r>
            <w:r w:rsidRPr="00BE0283">
              <w:rPr>
                <w:rFonts w:cs="Arial"/>
                <w:sz w:val="21"/>
                <w:szCs w:val="21"/>
              </w:rPr>
              <w:t xml:space="preserve"> </w:t>
            </w:r>
          </w:p>
          <w:p w:rsidR="00A373CC" w:rsidRDefault="00A373CC" w:rsidP="00E036B7">
            <w:pPr>
              <w:pStyle w:val="Tablenormal0"/>
            </w:pPr>
            <w:r w:rsidRPr="00BE0283">
              <w:t>N</w:t>
            </w:r>
            <w:r>
              <w:t>atural disaster insurance for:</w:t>
            </w:r>
          </w:p>
          <w:p w:rsidR="00A373CC" w:rsidRPr="00BE0283" w:rsidRDefault="00A373CC" w:rsidP="00E036B7">
            <w:pPr>
              <w:pStyle w:val="Tablebullet"/>
            </w:pPr>
            <w:r w:rsidRPr="00BE0283">
              <w:t>residential homes, land and contents against loss or damage from earthquake</w:t>
            </w:r>
            <w:r>
              <w:t xml:space="preserve">, </w:t>
            </w:r>
            <w:r w:rsidRPr="00BE0283">
              <w:t>natural landslip</w:t>
            </w:r>
            <w:r>
              <w:t>,</w:t>
            </w:r>
            <w:r w:rsidRPr="00BE0283">
              <w:t xml:space="preserve"> volcanic eruption</w:t>
            </w:r>
            <w:r>
              <w:t>, hydrothermal activity tsunami</w:t>
            </w:r>
          </w:p>
          <w:p w:rsidR="00A373CC" w:rsidRPr="00BE0283" w:rsidRDefault="00A373CC" w:rsidP="00E036B7">
            <w:pPr>
              <w:pStyle w:val="Tablebullet"/>
            </w:pPr>
            <w:r w:rsidRPr="00BE0283">
              <w:t xml:space="preserve">residential land against </w:t>
            </w:r>
            <w:r>
              <w:t>storm and flood damage</w:t>
            </w:r>
          </w:p>
          <w:p w:rsidR="00A373CC" w:rsidRPr="00BE0283" w:rsidRDefault="00A373CC" w:rsidP="00E036B7">
            <w:pPr>
              <w:pStyle w:val="Tablebullet"/>
            </w:pPr>
            <w:r w:rsidRPr="00BE0283">
              <w:t>fire resulting from any of these natural disasters.</w:t>
            </w:r>
          </w:p>
          <w:p w:rsidR="00A373CC" w:rsidRDefault="00A373CC" w:rsidP="00E036B7">
            <w:pPr>
              <w:pStyle w:val="Tablebullet"/>
              <w:numPr>
                <w:ilvl w:val="0"/>
                <w:numId w:val="0"/>
              </w:numPr>
            </w:pPr>
            <w:r w:rsidRPr="00BE0283">
              <w:t xml:space="preserve">EQCover may also apply </w:t>
            </w:r>
            <w:r>
              <w:t>for</w:t>
            </w:r>
            <w:r w:rsidRPr="00BE0283">
              <w:t xml:space="preserve"> </w:t>
            </w:r>
            <w:r>
              <w:t>un</w:t>
            </w:r>
            <w:r w:rsidRPr="00BE0283">
              <w:t>damaged home</w:t>
            </w:r>
            <w:r>
              <w:t>s</w:t>
            </w:r>
            <w:r w:rsidRPr="00BE0283">
              <w:t xml:space="preserve"> </w:t>
            </w:r>
            <w:r>
              <w:t xml:space="preserve">where </w:t>
            </w:r>
            <w:r w:rsidRPr="00BE0283">
              <w:t xml:space="preserve">damage is imminent as a direct result </w:t>
            </w:r>
            <w:r>
              <w:t>of disaster.</w:t>
            </w:r>
          </w:p>
          <w:p w:rsidR="00A373CC" w:rsidRPr="00BE0283" w:rsidRDefault="00FD595B" w:rsidP="00E036B7">
            <w:pPr>
              <w:pStyle w:val="Tablebullet"/>
              <w:numPr>
                <w:ilvl w:val="0"/>
                <w:numId w:val="0"/>
              </w:numPr>
              <w:rPr>
                <w:rFonts w:eastAsia="Times New Roman"/>
                <w:lang w:eastAsia="en-NZ"/>
              </w:rPr>
            </w:pPr>
            <w:hyperlink r:id="rId17" w:history="1">
              <w:r w:rsidR="00A373CC">
                <w:rPr>
                  <w:rStyle w:val="Hyperlink"/>
                  <w:rFonts w:cs="Arial"/>
                </w:rPr>
                <w:t>See EQC insurance</w:t>
              </w:r>
            </w:hyperlink>
          </w:p>
        </w:tc>
      </w:tr>
    </w:tbl>
    <w:p w:rsidR="00CA46A6" w:rsidRDefault="00A17D44" w:rsidP="00CA46A6">
      <w:pPr>
        <w:pStyle w:val="Heading1NoNumbering"/>
      </w:pPr>
      <w:r>
        <w:lastRenderedPageBreak/>
        <w:t>Support for farmers</w:t>
      </w:r>
    </w:p>
    <w:tbl>
      <w:tblPr>
        <w:tblStyle w:val="TableGrid"/>
        <w:tblW w:w="14992"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ayout w:type="fixed"/>
        <w:tblLook w:val="04A0" w:firstRow="1" w:lastRow="0" w:firstColumn="1" w:lastColumn="0" w:noHBand="0" w:noVBand="1"/>
      </w:tblPr>
      <w:tblGrid>
        <w:gridCol w:w="2518"/>
        <w:gridCol w:w="3260"/>
        <w:gridCol w:w="2410"/>
        <w:gridCol w:w="6804"/>
      </w:tblGrid>
      <w:tr w:rsidR="00A373CC" w:rsidRPr="00CA0B33" w:rsidTr="00A373CC">
        <w:trPr>
          <w:tblHeader/>
        </w:trPr>
        <w:tc>
          <w:tcPr>
            <w:tcW w:w="2518" w:type="dxa"/>
            <w:tcBorders>
              <w:top w:val="single" w:sz="12" w:space="0" w:color="005A9B" w:themeColor="background2"/>
              <w:bottom w:val="single" w:sz="6" w:space="0" w:color="005A9B" w:themeColor="background2"/>
              <w:right w:val="single" w:sz="4" w:space="0" w:color="FFFFFF" w:themeColor="background1"/>
            </w:tcBorders>
            <w:shd w:val="clear" w:color="auto" w:fill="005A9B" w:themeFill="background2"/>
          </w:tcPr>
          <w:p w:rsidR="00A373CC" w:rsidRPr="00CA0B33" w:rsidRDefault="00A373CC" w:rsidP="004E6A68">
            <w:pPr>
              <w:pStyle w:val="Tableheading"/>
              <w:widowControl w:val="0"/>
            </w:pPr>
            <w:r>
              <w:t>Agency</w:t>
            </w:r>
          </w:p>
        </w:tc>
        <w:tc>
          <w:tcPr>
            <w:tcW w:w="3260" w:type="dxa"/>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A373CC" w:rsidRDefault="00A373CC" w:rsidP="004E6A68">
            <w:pPr>
              <w:pStyle w:val="Tableheading"/>
              <w:widowControl w:val="0"/>
            </w:pPr>
            <w:r>
              <w:t>Role in recovery</w:t>
            </w:r>
          </w:p>
        </w:tc>
        <w:tc>
          <w:tcPr>
            <w:tcW w:w="2410" w:type="dxa"/>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A373CC" w:rsidRDefault="00A373CC" w:rsidP="004E6A68">
            <w:pPr>
              <w:pStyle w:val="Tableheading"/>
              <w:widowControl w:val="0"/>
            </w:pPr>
            <w:r>
              <w:t xml:space="preserve">Recipient </w:t>
            </w:r>
          </w:p>
        </w:tc>
        <w:tc>
          <w:tcPr>
            <w:tcW w:w="6804" w:type="dxa"/>
            <w:tcBorders>
              <w:top w:val="single" w:sz="12" w:space="0" w:color="005A9B" w:themeColor="background2"/>
              <w:left w:val="single" w:sz="6" w:space="0" w:color="FFFFFF" w:themeColor="background1"/>
              <w:bottom w:val="single" w:sz="6" w:space="0" w:color="005A9B" w:themeColor="background2"/>
              <w:right w:val="single" w:sz="4" w:space="0" w:color="FFFFFF" w:themeColor="background1"/>
            </w:tcBorders>
            <w:shd w:val="clear" w:color="auto" w:fill="005A9B" w:themeFill="background2"/>
          </w:tcPr>
          <w:p w:rsidR="00A373CC" w:rsidRPr="00CA0B33" w:rsidRDefault="00A373CC" w:rsidP="004E6A68">
            <w:pPr>
              <w:pStyle w:val="Tableheading"/>
              <w:widowControl w:val="0"/>
            </w:pPr>
            <w:r>
              <w:t>Support</w:t>
            </w:r>
          </w:p>
        </w:tc>
      </w:tr>
      <w:tr w:rsidR="00A373CC" w:rsidTr="00A37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hideMark/>
          </w:tcPr>
          <w:p w:rsidR="00A373CC" w:rsidRDefault="00A373CC" w:rsidP="004E6A68">
            <w:pPr>
              <w:widowControl w:val="0"/>
              <w:rPr>
                <w:rFonts w:cs="Arial"/>
              </w:rPr>
            </w:pPr>
            <w:r>
              <w:t>Ministry for Primary Industries (</w:t>
            </w:r>
            <w:r w:rsidRPr="00152C3B">
              <w:t>MPI</w:t>
            </w:r>
            <w:r>
              <w:t>)</w:t>
            </w:r>
          </w:p>
        </w:tc>
        <w:tc>
          <w:tcPr>
            <w:tcW w:w="3260" w:type="dxa"/>
            <w:hideMark/>
          </w:tcPr>
          <w:p w:rsidR="00A373CC" w:rsidRDefault="00A373CC" w:rsidP="004E6A68">
            <w:pPr>
              <w:pStyle w:val="Tablenormal0"/>
            </w:pPr>
            <w:r>
              <w:t>Implements MPI’s Primary Sector Recovery Policy</w:t>
            </w:r>
          </w:p>
        </w:tc>
        <w:tc>
          <w:tcPr>
            <w:tcW w:w="2410" w:type="dxa"/>
            <w:hideMark/>
          </w:tcPr>
          <w:p w:rsidR="00A373CC" w:rsidRDefault="00A373CC" w:rsidP="004E6A68">
            <w:pPr>
              <w:pStyle w:val="Tablenormal0"/>
            </w:pPr>
            <w:r>
              <w:t>Rural Support Trusts</w:t>
            </w:r>
          </w:p>
          <w:p w:rsidR="00A373CC" w:rsidRDefault="00A373CC" w:rsidP="004E6A68">
            <w:pPr>
              <w:pStyle w:val="Tablenormal0"/>
            </w:pPr>
            <w:r>
              <w:t xml:space="preserve"> </w:t>
            </w:r>
          </w:p>
        </w:tc>
        <w:tc>
          <w:tcPr>
            <w:tcW w:w="6804" w:type="dxa"/>
          </w:tcPr>
          <w:p w:rsidR="00A373CC" w:rsidRPr="00723308" w:rsidRDefault="00A373CC" w:rsidP="004E6A68">
            <w:pPr>
              <w:pStyle w:val="Tablenormal0"/>
              <w:rPr>
                <w:b/>
              </w:rPr>
            </w:pPr>
            <w:r w:rsidRPr="00723308">
              <w:rPr>
                <w:b/>
              </w:rPr>
              <w:t>Coordination of support to primary sector</w:t>
            </w:r>
          </w:p>
          <w:p w:rsidR="00A373CC" w:rsidRDefault="00A373CC" w:rsidP="004E6A68">
            <w:pPr>
              <w:pStyle w:val="Tablenormal0"/>
            </w:pPr>
            <w:r>
              <w:t>Rural Support Trusts (or others) are funded to coordinate support for affected individuals and families in the primary sector in a medium or large scale adverse event. This may include:</w:t>
            </w:r>
          </w:p>
          <w:p w:rsidR="00A373CC" w:rsidRDefault="00A373CC" w:rsidP="004E6A68">
            <w:pPr>
              <w:pStyle w:val="Tablebullet"/>
            </w:pPr>
            <w:r>
              <w:t>recovery coordination</w:t>
            </w:r>
          </w:p>
          <w:p w:rsidR="00A373CC" w:rsidRDefault="00A373CC" w:rsidP="004E6A68">
            <w:pPr>
              <w:pStyle w:val="Tablebullet"/>
            </w:pPr>
            <w:r>
              <w:t>pastoral care and 1-1 support</w:t>
            </w:r>
          </w:p>
          <w:p w:rsidR="00A373CC" w:rsidRDefault="00A373CC" w:rsidP="004E6A68">
            <w:pPr>
              <w:pStyle w:val="Tablebullet"/>
            </w:pPr>
            <w:r>
              <w:t>community events</w:t>
            </w:r>
          </w:p>
          <w:p w:rsidR="00A373CC" w:rsidRDefault="00A373CC" w:rsidP="004E6A68">
            <w:pPr>
              <w:pStyle w:val="Tablebullet"/>
            </w:pPr>
            <w:r>
              <w:t>technology transfer</w:t>
            </w:r>
          </w:p>
          <w:p w:rsidR="00A373CC" w:rsidRDefault="00A373CC" w:rsidP="00984F96">
            <w:pPr>
              <w:pStyle w:val="Tablebullet"/>
            </w:pPr>
            <w:r w:rsidRPr="00984F96">
              <w:t>assistance implementing and accessing MSD</w:t>
            </w:r>
          </w:p>
          <w:p w:rsidR="00A373CC" w:rsidRDefault="00A373CC" w:rsidP="004E6A68">
            <w:pPr>
              <w:pStyle w:val="Tablebullet"/>
            </w:pPr>
            <w:r>
              <w:t>support to implement MSD programmes (Rural Assistance Payments and Enhanced Task Force Green)</w:t>
            </w:r>
          </w:p>
          <w:p w:rsidR="00A373CC" w:rsidRDefault="00A373CC" w:rsidP="004E6A68">
            <w:pPr>
              <w:pStyle w:val="Tablenormal0"/>
            </w:pPr>
            <w:r>
              <w:t xml:space="preserve">See </w:t>
            </w:r>
            <w:hyperlink r:id="rId18" w:history="1">
              <w:r>
                <w:rPr>
                  <w:rStyle w:val="Hyperlink"/>
                </w:rPr>
                <w:t>information on support provided to the primary sector</w:t>
              </w:r>
            </w:hyperlink>
          </w:p>
        </w:tc>
      </w:tr>
      <w:tr w:rsidR="00A373CC" w:rsidTr="00A37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tcPr>
          <w:p w:rsidR="00A373CC" w:rsidRDefault="00A373CC" w:rsidP="009643F2">
            <w:pPr>
              <w:pStyle w:val="Tablenormal0"/>
            </w:pPr>
            <w:r>
              <w:t>MSD</w:t>
            </w:r>
          </w:p>
        </w:tc>
        <w:tc>
          <w:tcPr>
            <w:tcW w:w="3260" w:type="dxa"/>
          </w:tcPr>
          <w:p w:rsidR="00A373CC" w:rsidRDefault="00A373CC" w:rsidP="009643F2">
            <w:pPr>
              <w:pStyle w:val="Tablenormal0"/>
            </w:pPr>
            <w:r>
              <w:t>Rural Assistance Payments</w:t>
            </w:r>
          </w:p>
        </w:tc>
        <w:tc>
          <w:tcPr>
            <w:tcW w:w="2410" w:type="dxa"/>
          </w:tcPr>
          <w:p w:rsidR="00A373CC" w:rsidRPr="00CA0B33" w:rsidRDefault="00A373CC" w:rsidP="009643F2">
            <w:pPr>
              <w:pStyle w:val="Tablenormal0"/>
            </w:pPr>
            <w:r>
              <w:t>Farmers</w:t>
            </w:r>
          </w:p>
        </w:tc>
        <w:tc>
          <w:tcPr>
            <w:tcW w:w="6804" w:type="dxa"/>
          </w:tcPr>
          <w:p w:rsidR="00A373CC" w:rsidRDefault="00A373CC" w:rsidP="009643F2">
            <w:pPr>
              <w:pStyle w:val="Tablenormal0"/>
            </w:pPr>
            <w:r>
              <w:t>Rural Assistance Payments help farming families affected by an adverse event meet essential living expenses.</w:t>
            </w:r>
          </w:p>
          <w:p w:rsidR="00A373CC" w:rsidRDefault="00A373CC" w:rsidP="009643F2">
            <w:pPr>
              <w:pStyle w:val="Tablenormal0"/>
            </w:pPr>
            <w:r>
              <w:t xml:space="preserve">See Work and Income: </w:t>
            </w:r>
            <w:hyperlink r:id="rId19" w:history="1">
              <w:r w:rsidRPr="00B527C0">
                <w:rPr>
                  <w:rStyle w:val="Hyperlink"/>
                </w:rPr>
                <w:t>Rural Assistance Payments</w:t>
              </w:r>
            </w:hyperlink>
          </w:p>
        </w:tc>
      </w:tr>
      <w:tr w:rsidR="00A373CC" w:rsidRPr="00CA0B33" w:rsidTr="00A373CC">
        <w:tc>
          <w:tcPr>
            <w:tcW w:w="2518" w:type="dxa"/>
            <w:tcBorders>
              <w:top w:val="single" w:sz="6" w:space="0" w:color="005A9B" w:themeColor="background2"/>
              <w:bottom w:val="single" w:sz="6" w:space="0" w:color="005A9B" w:themeColor="background2"/>
            </w:tcBorders>
          </w:tcPr>
          <w:p w:rsidR="00A373CC" w:rsidRDefault="00A373CC" w:rsidP="009643F2">
            <w:pPr>
              <w:pStyle w:val="Tablenormal0"/>
            </w:pPr>
            <w:r w:rsidRPr="00152C3B">
              <w:t>I</w:t>
            </w:r>
            <w:r>
              <w:t>nland Revenue Department (I</w:t>
            </w:r>
            <w:r w:rsidRPr="00152C3B">
              <w:t>RD</w:t>
            </w:r>
            <w:r>
              <w:t>)</w:t>
            </w:r>
          </w:p>
        </w:tc>
        <w:tc>
          <w:tcPr>
            <w:tcW w:w="3260" w:type="dxa"/>
            <w:tcBorders>
              <w:top w:val="single" w:sz="6" w:space="0" w:color="005A9B" w:themeColor="background2"/>
              <w:bottom w:val="single" w:sz="6" w:space="0" w:color="005A9B" w:themeColor="background2"/>
            </w:tcBorders>
          </w:tcPr>
          <w:p w:rsidR="00A373CC" w:rsidRDefault="00A373CC" w:rsidP="009643F2">
            <w:pPr>
              <w:pStyle w:val="Tablenormal0"/>
            </w:pPr>
            <w:r>
              <w:t>A</w:t>
            </w:r>
            <w:r w:rsidRPr="00B527C0">
              <w:t xml:space="preserve">dverse event income equalisation </w:t>
            </w:r>
          </w:p>
        </w:tc>
        <w:tc>
          <w:tcPr>
            <w:tcW w:w="2410" w:type="dxa"/>
            <w:tcBorders>
              <w:top w:val="single" w:sz="6" w:space="0" w:color="005A9B" w:themeColor="background2"/>
              <w:bottom w:val="single" w:sz="6" w:space="0" w:color="005A9B" w:themeColor="background2"/>
            </w:tcBorders>
          </w:tcPr>
          <w:p w:rsidR="00A373CC" w:rsidRPr="00CA0B33" w:rsidRDefault="00A373CC" w:rsidP="009643F2">
            <w:pPr>
              <w:pStyle w:val="Tablenormal0"/>
            </w:pPr>
            <w:r>
              <w:t>Farmers</w:t>
            </w:r>
          </w:p>
        </w:tc>
        <w:tc>
          <w:tcPr>
            <w:tcW w:w="6804" w:type="dxa"/>
            <w:tcBorders>
              <w:top w:val="single" w:sz="6" w:space="0" w:color="005A9B" w:themeColor="background2"/>
              <w:bottom w:val="single" w:sz="6" w:space="0" w:color="005A9B" w:themeColor="background2"/>
            </w:tcBorders>
          </w:tcPr>
          <w:p w:rsidR="00A373CC" w:rsidRPr="00723308" w:rsidRDefault="00A373CC" w:rsidP="009643F2">
            <w:pPr>
              <w:pStyle w:val="Tablenormal0"/>
              <w:rPr>
                <w:b/>
              </w:rPr>
            </w:pPr>
            <w:r w:rsidRPr="00723308">
              <w:rPr>
                <w:b/>
              </w:rPr>
              <w:t xml:space="preserve">The adverse event income equalisation scheme </w:t>
            </w:r>
          </w:p>
          <w:p w:rsidR="00A373CC" w:rsidRDefault="00A373CC" w:rsidP="009643F2">
            <w:pPr>
              <w:pStyle w:val="Tablenormal0"/>
            </w:pPr>
            <w:r>
              <w:t>allows farmers who experience adverse events to carry income from forced livestock sales over to the next income year.</w:t>
            </w:r>
          </w:p>
          <w:p w:rsidR="00A373CC" w:rsidRDefault="00A373CC" w:rsidP="009643F2">
            <w:pPr>
              <w:pStyle w:val="Tablenormal0"/>
            </w:pPr>
            <w:r>
              <w:t xml:space="preserve">Declaration of an adverse event allows farmers early access to deposited funds. </w:t>
            </w:r>
          </w:p>
          <w:p w:rsidR="00A373CC" w:rsidRPr="00CA0B33" w:rsidRDefault="00A373CC" w:rsidP="009643F2">
            <w:pPr>
              <w:pStyle w:val="Tablenormal0"/>
            </w:pPr>
            <w:r>
              <w:t xml:space="preserve">See </w:t>
            </w:r>
            <w:hyperlink r:id="rId20" w:history="1">
              <w:r w:rsidRPr="00B527C0">
                <w:rPr>
                  <w:rStyle w:val="Hyperlink"/>
                </w:rPr>
                <w:t>Adverse event income equalisation scheme</w:t>
              </w:r>
            </w:hyperlink>
          </w:p>
        </w:tc>
      </w:tr>
      <w:tr w:rsidR="00A373CC" w:rsidRPr="00CA0B33" w:rsidTr="00A373CC">
        <w:tc>
          <w:tcPr>
            <w:tcW w:w="2518" w:type="dxa"/>
            <w:tcBorders>
              <w:top w:val="single" w:sz="6" w:space="0" w:color="005A9B" w:themeColor="background2"/>
              <w:bottom w:val="single" w:sz="6" w:space="0" w:color="005A9B" w:themeColor="background2"/>
            </w:tcBorders>
          </w:tcPr>
          <w:p w:rsidR="00A373CC" w:rsidRPr="001B1C30" w:rsidRDefault="00A373CC" w:rsidP="009643F2">
            <w:pPr>
              <w:pStyle w:val="TableText"/>
              <w:rPr>
                <w:highlight w:val="green"/>
              </w:rPr>
            </w:pPr>
            <w:r w:rsidRPr="00152C3B">
              <w:t>Ministry of Social Development (MSD)</w:t>
            </w:r>
          </w:p>
        </w:tc>
        <w:tc>
          <w:tcPr>
            <w:tcW w:w="3260" w:type="dxa"/>
            <w:tcBorders>
              <w:top w:val="single" w:sz="6" w:space="0" w:color="005A9B" w:themeColor="background2"/>
              <w:bottom w:val="single" w:sz="6" w:space="0" w:color="005A9B" w:themeColor="background2"/>
            </w:tcBorders>
          </w:tcPr>
          <w:p w:rsidR="00A373CC" w:rsidRDefault="00A373CC" w:rsidP="009643F2">
            <w:pPr>
              <w:pStyle w:val="TableText"/>
            </w:pPr>
            <w:r>
              <w:t>Financial Assistance</w:t>
            </w:r>
          </w:p>
        </w:tc>
        <w:tc>
          <w:tcPr>
            <w:tcW w:w="2410" w:type="dxa"/>
            <w:tcBorders>
              <w:top w:val="single" w:sz="6" w:space="0" w:color="005A9B" w:themeColor="background2"/>
              <w:bottom w:val="single" w:sz="6" w:space="0" w:color="005A9B" w:themeColor="background2"/>
            </w:tcBorders>
          </w:tcPr>
          <w:p w:rsidR="00A373CC" w:rsidRDefault="00A373CC" w:rsidP="009643F2">
            <w:pPr>
              <w:pStyle w:val="TableText"/>
            </w:pPr>
            <w:r>
              <w:t>Farms, local authority parks and reserves</w:t>
            </w:r>
          </w:p>
        </w:tc>
        <w:tc>
          <w:tcPr>
            <w:tcW w:w="6804" w:type="dxa"/>
            <w:tcBorders>
              <w:top w:val="single" w:sz="6" w:space="0" w:color="005A9B" w:themeColor="background2"/>
              <w:bottom w:val="single" w:sz="6" w:space="0" w:color="005A9B" w:themeColor="background2"/>
            </w:tcBorders>
          </w:tcPr>
          <w:p w:rsidR="00A373CC" w:rsidRDefault="00A373CC" w:rsidP="009643F2">
            <w:pPr>
              <w:pStyle w:val="TableText"/>
            </w:pPr>
            <w:r w:rsidRPr="00723308">
              <w:rPr>
                <w:b/>
              </w:rPr>
              <w:t>Enhanced Taskforce Green</w:t>
            </w:r>
            <w:r>
              <w:t xml:space="preserve"> </w:t>
            </w:r>
          </w:p>
          <w:p w:rsidR="00A373CC" w:rsidRDefault="00A373CC" w:rsidP="009643F2">
            <w:pPr>
              <w:pStyle w:val="TableText"/>
            </w:pPr>
            <w:r>
              <w:t>Labour assistance programmes help clear up and repair damage, eg fence clearance and repair, tree and debris removal.</w:t>
            </w:r>
          </w:p>
          <w:p w:rsidR="00A373CC" w:rsidRDefault="00A373CC" w:rsidP="009643F2">
            <w:pPr>
              <w:pStyle w:val="TableText"/>
            </w:pPr>
            <w:r>
              <w:t xml:space="preserve">See </w:t>
            </w:r>
            <w:hyperlink r:id="rId21" w:anchor="null" w:history="1">
              <w:r w:rsidRPr="009623D3">
                <w:rPr>
                  <w:rStyle w:val="Hyperlink"/>
                </w:rPr>
                <w:t>Enhanced Taskforce Green</w:t>
              </w:r>
            </w:hyperlink>
          </w:p>
        </w:tc>
      </w:tr>
    </w:tbl>
    <w:p w:rsidR="00EF48A4" w:rsidRDefault="00FE0825" w:rsidP="00FE0825">
      <w:pPr>
        <w:pStyle w:val="Heading1NoNumbering"/>
      </w:pPr>
      <w:r>
        <w:t>Support for businesses</w:t>
      </w:r>
    </w:p>
    <w:tbl>
      <w:tblPr>
        <w:tblStyle w:val="TableGrid"/>
        <w:tblW w:w="0" w:type="auto"/>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firstRow="1" w:lastRow="0" w:firstColumn="1" w:lastColumn="0" w:noHBand="0" w:noVBand="1"/>
      </w:tblPr>
      <w:tblGrid>
        <w:gridCol w:w="2518"/>
        <w:gridCol w:w="3260"/>
        <w:gridCol w:w="2410"/>
        <w:gridCol w:w="6881"/>
      </w:tblGrid>
      <w:tr w:rsidR="00A373CC" w:rsidRPr="00CA0B33" w:rsidTr="00A373CC">
        <w:trPr>
          <w:tblHeader/>
        </w:trPr>
        <w:tc>
          <w:tcPr>
            <w:tcW w:w="2518" w:type="dxa"/>
            <w:tcBorders>
              <w:top w:val="single" w:sz="12" w:space="0" w:color="005A9B" w:themeColor="background2"/>
              <w:bottom w:val="single" w:sz="6" w:space="0" w:color="005A9B" w:themeColor="background2"/>
              <w:right w:val="single" w:sz="4" w:space="0" w:color="FFFFFF" w:themeColor="background1"/>
            </w:tcBorders>
            <w:shd w:val="clear" w:color="auto" w:fill="005A9B" w:themeFill="background2"/>
          </w:tcPr>
          <w:p w:rsidR="00A373CC" w:rsidRPr="00CA0B33" w:rsidRDefault="00A373CC" w:rsidP="004E6A68">
            <w:pPr>
              <w:pStyle w:val="Tableheading"/>
              <w:widowControl w:val="0"/>
            </w:pPr>
            <w:r>
              <w:t>Agency</w:t>
            </w:r>
          </w:p>
        </w:tc>
        <w:tc>
          <w:tcPr>
            <w:tcW w:w="3260" w:type="dxa"/>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A373CC" w:rsidRDefault="00A373CC" w:rsidP="004E6A68">
            <w:pPr>
              <w:pStyle w:val="Tableheading"/>
              <w:widowControl w:val="0"/>
            </w:pPr>
            <w:r>
              <w:t>Role in recovery</w:t>
            </w:r>
          </w:p>
        </w:tc>
        <w:tc>
          <w:tcPr>
            <w:tcW w:w="2410" w:type="dxa"/>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A373CC" w:rsidRDefault="00A373CC" w:rsidP="004E6A68">
            <w:pPr>
              <w:pStyle w:val="Tableheading"/>
              <w:widowControl w:val="0"/>
            </w:pPr>
            <w:r>
              <w:t xml:space="preserve">Recipient </w:t>
            </w:r>
          </w:p>
        </w:tc>
        <w:tc>
          <w:tcPr>
            <w:tcW w:w="6881" w:type="dxa"/>
            <w:tcBorders>
              <w:top w:val="single" w:sz="12" w:space="0" w:color="005A9B" w:themeColor="background2"/>
              <w:left w:val="single" w:sz="6" w:space="0" w:color="FFFFFF" w:themeColor="background1"/>
              <w:bottom w:val="single" w:sz="6" w:space="0" w:color="005A9B" w:themeColor="background2"/>
              <w:right w:val="single" w:sz="4" w:space="0" w:color="FFFFFF" w:themeColor="background1"/>
            </w:tcBorders>
            <w:shd w:val="clear" w:color="auto" w:fill="005A9B" w:themeFill="background2"/>
          </w:tcPr>
          <w:p w:rsidR="00A373CC" w:rsidRPr="00CA0B33" w:rsidRDefault="00A373CC" w:rsidP="004E6A68">
            <w:pPr>
              <w:pStyle w:val="Tableheading"/>
              <w:widowControl w:val="0"/>
            </w:pPr>
            <w:r>
              <w:t>Support</w:t>
            </w:r>
          </w:p>
        </w:tc>
      </w:tr>
      <w:tr w:rsidR="00A373CC" w:rsidRPr="00CA0B33" w:rsidTr="00A373CC">
        <w:tc>
          <w:tcPr>
            <w:tcW w:w="2518" w:type="dxa"/>
            <w:tcBorders>
              <w:top w:val="single" w:sz="6" w:space="0" w:color="005A9B" w:themeColor="background2"/>
              <w:bottom w:val="single" w:sz="6" w:space="0" w:color="005A9B" w:themeColor="background2"/>
            </w:tcBorders>
          </w:tcPr>
          <w:p w:rsidR="00A373CC" w:rsidRPr="00152C3B" w:rsidRDefault="00A373CC" w:rsidP="004E6A68">
            <w:pPr>
              <w:widowControl w:val="0"/>
            </w:pPr>
            <w:r w:rsidRPr="00152C3B">
              <w:t>Ministry of Business, Innovation and Employment (MBIE)</w:t>
            </w:r>
          </w:p>
        </w:tc>
        <w:tc>
          <w:tcPr>
            <w:tcW w:w="3260" w:type="dxa"/>
            <w:tcBorders>
              <w:top w:val="single" w:sz="6" w:space="0" w:color="005A9B" w:themeColor="background2"/>
              <w:bottom w:val="single" w:sz="6" w:space="0" w:color="005A9B" w:themeColor="background2"/>
            </w:tcBorders>
          </w:tcPr>
          <w:p w:rsidR="00A373CC" w:rsidRPr="00CA0B33" w:rsidRDefault="00A373CC" w:rsidP="004E6A68">
            <w:pPr>
              <w:widowControl w:val="0"/>
            </w:pPr>
            <w:r>
              <w:t>Business and tourism support</w:t>
            </w:r>
          </w:p>
        </w:tc>
        <w:tc>
          <w:tcPr>
            <w:tcW w:w="2410" w:type="dxa"/>
            <w:tcBorders>
              <w:top w:val="single" w:sz="6" w:space="0" w:color="005A9B" w:themeColor="background2"/>
              <w:bottom w:val="single" w:sz="6" w:space="0" w:color="005A9B" w:themeColor="background2"/>
            </w:tcBorders>
          </w:tcPr>
          <w:p w:rsidR="00A373CC" w:rsidRPr="00CA0B33" w:rsidRDefault="00A373CC" w:rsidP="004E6A68">
            <w:pPr>
              <w:widowControl w:val="0"/>
            </w:pPr>
            <w:r>
              <w:t>Businesses</w:t>
            </w:r>
          </w:p>
        </w:tc>
        <w:tc>
          <w:tcPr>
            <w:tcW w:w="6881" w:type="dxa"/>
            <w:tcBorders>
              <w:top w:val="single" w:sz="6" w:space="0" w:color="005A9B" w:themeColor="background2"/>
              <w:bottom w:val="single" w:sz="6" w:space="0" w:color="005A9B" w:themeColor="background2"/>
            </w:tcBorders>
          </w:tcPr>
          <w:p w:rsidR="00A373CC" w:rsidRDefault="00A373CC" w:rsidP="004E6A68">
            <w:pPr>
              <w:rPr>
                <w:rFonts w:ascii="Calibri" w:hAnsi="Calibri"/>
              </w:rPr>
            </w:pPr>
            <w:r>
              <w:t>Business and tourism support may be provided on an ad-hoc basis, based on the specifics of the emergency.</w:t>
            </w:r>
          </w:p>
          <w:p w:rsidR="00A373CC" w:rsidRPr="0016781A" w:rsidRDefault="00A373CC" w:rsidP="004E6A68">
            <w:pPr>
              <w:widowControl w:val="0"/>
            </w:pPr>
          </w:p>
        </w:tc>
      </w:tr>
      <w:tr w:rsidR="00A373CC" w:rsidRPr="00CA0B33" w:rsidTr="00A373CC">
        <w:tc>
          <w:tcPr>
            <w:tcW w:w="2518" w:type="dxa"/>
            <w:tcBorders>
              <w:top w:val="single" w:sz="6" w:space="0" w:color="005A9B" w:themeColor="background2"/>
              <w:bottom w:val="single" w:sz="6" w:space="0" w:color="005A9B" w:themeColor="background2"/>
            </w:tcBorders>
          </w:tcPr>
          <w:p w:rsidR="00A373CC" w:rsidRPr="00152C3B" w:rsidRDefault="00A373CC" w:rsidP="004E6A68">
            <w:pPr>
              <w:widowControl w:val="0"/>
            </w:pPr>
            <w:r w:rsidRPr="00152C3B">
              <w:t>I</w:t>
            </w:r>
            <w:r>
              <w:t>nland Revenue Department (I</w:t>
            </w:r>
            <w:r w:rsidRPr="00152C3B">
              <w:t>RD</w:t>
            </w:r>
            <w:r>
              <w:t>)</w:t>
            </w:r>
          </w:p>
        </w:tc>
        <w:tc>
          <w:tcPr>
            <w:tcW w:w="3260" w:type="dxa"/>
            <w:tcBorders>
              <w:top w:val="single" w:sz="6" w:space="0" w:color="005A9B" w:themeColor="background2"/>
              <w:bottom w:val="single" w:sz="6" w:space="0" w:color="005A9B" w:themeColor="background2"/>
            </w:tcBorders>
          </w:tcPr>
          <w:p w:rsidR="00A373CC" w:rsidRDefault="00A373CC" w:rsidP="004E6A68">
            <w:pPr>
              <w:widowControl w:val="0"/>
            </w:pPr>
            <w:r w:rsidRPr="00723308">
              <w:t xml:space="preserve">Extreme weather assistance </w:t>
            </w:r>
          </w:p>
        </w:tc>
        <w:tc>
          <w:tcPr>
            <w:tcW w:w="2410" w:type="dxa"/>
            <w:tcBorders>
              <w:top w:val="single" w:sz="6" w:space="0" w:color="005A9B" w:themeColor="background2"/>
              <w:bottom w:val="single" w:sz="6" w:space="0" w:color="005A9B" w:themeColor="background2"/>
            </w:tcBorders>
          </w:tcPr>
          <w:p w:rsidR="00A373CC" w:rsidRDefault="00A373CC" w:rsidP="004E6A68">
            <w:pPr>
              <w:widowControl w:val="0"/>
            </w:pPr>
            <w:r>
              <w:t>Businesses</w:t>
            </w:r>
          </w:p>
        </w:tc>
        <w:tc>
          <w:tcPr>
            <w:tcW w:w="6881" w:type="dxa"/>
            <w:tcBorders>
              <w:top w:val="single" w:sz="6" w:space="0" w:color="005A9B" w:themeColor="background2"/>
              <w:bottom w:val="single" w:sz="6" w:space="0" w:color="005A9B" w:themeColor="background2"/>
            </w:tcBorders>
          </w:tcPr>
          <w:p w:rsidR="00A373CC" w:rsidRDefault="00FD595B" w:rsidP="004E6A68">
            <w:pPr>
              <w:widowControl w:val="0"/>
            </w:pPr>
            <w:hyperlink r:id="rId22" w:history="1">
              <w:r w:rsidR="00A373CC">
                <w:rPr>
                  <w:rStyle w:val="Hyperlink"/>
                </w:rPr>
                <w:t>Extreme weather assistance for businesses</w:t>
              </w:r>
            </w:hyperlink>
          </w:p>
        </w:tc>
      </w:tr>
    </w:tbl>
    <w:p w:rsidR="00101BE4" w:rsidRDefault="00EF48A4" w:rsidP="00FE0825">
      <w:pPr>
        <w:pStyle w:val="Heading1NoNumbering"/>
      </w:pPr>
      <w:r>
        <w:t>Support for Local Authorities</w:t>
      </w:r>
    </w:p>
    <w:tbl>
      <w:tblPr>
        <w:tblStyle w:val="TableGrid"/>
        <w:tblW w:w="0" w:type="auto"/>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firstRow="1" w:lastRow="0" w:firstColumn="1" w:lastColumn="0" w:noHBand="0" w:noVBand="1"/>
      </w:tblPr>
      <w:tblGrid>
        <w:gridCol w:w="2480"/>
        <w:gridCol w:w="3298"/>
        <w:gridCol w:w="2410"/>
        <w:gridCol w:w="6881"/>
      </w:tblGrid>
      <w:tr w:rsidR="00A373CC" w:rsidRPr="00CA0B33" w:rsidTr="00A373CC">
        <w:trPr>
          <w:tblHeader/>
        </w:trPr>
        <w:tc>
          <w:tcPr>
            <w:tcW w:w="0" w:type="auto"/>
            <w:tcBorders>
              <w:top w:val="single" w:sz="12" w:space="0" w:color="005A9B" w:themeColor="background2"/>
              <w:bottom w:val="single" w:sz="6" w:space="0" w:color="005A9B" w:themeColor="background2"/>
              <w:right w:val="single" w:sz="4" w:space="0" w:color="FFFFFF" w:themeColor="background1"/>
            </w:tcBorders>
            <w:shd w:val="clear" w:color="auto" w:fill="005A9B" w:themeFill="background2"/>
          </w:tcPr>
          <w:p w:rsidR="00A373CC" w:rsidRPr="00CA0B33" w:rsidRDefault="00A373CC" w:rsidP="004E6A68">
            <w:pPr>
              <w:pStyle w:val="Tableheading"/>
              <w:widowControl w:val="0"/>
            </w:pPr>
            <w:r>
              <w:t>Agency</w:t>
            </w:r>
          </w:p>
        </w:tc>
        <w:tc>
          <w:tcPr>
            <w:tcW w:w="3298" w:type="dxa"/>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A373CC" w:rsidRDefault="00A373CC" w:rsidP="004E6A68">
            <w:pPr>
              <w:pStyle w:val="Tableheading"/>
              <w:widowControl w:val="0"/>
            </w:pPr>
            <w:r>
              <w:t>Role in recovery</w:t>
            </w:r>
          </w:p>
        </w:tc>
        <w:tc>
          <w:tcPr>
            <w:tcW w:w="2410" w:type="dxa"/>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A373CC" w:rsidRDefault="00A373CC" w:rsidP="004E6A68">
            <w:pPr>
              <w:pStyle w:val="Tableheading"/>
              <w:widowControl w:val="0"/>
            </w:pPr>
            <w:r>
              <w:t xml:space="preserve">Recipient </w:t>
            </w:r>
          </w:p>
        </w:tc>
        <w:tc>
          <w:tcPr>
            <w:tcW w:w="6881" w:type="dxa"/>
            <w:tcBorders>
              <w:top w:val="single" w:sz="12" w:space="0" w:color="005A9B" w:themeColor="background2"/>
              <w:left w:val="single" w:sz="6" w:space="0" w:color="FFFFFF" w:themeColor="background1"/>
              <w:bottom w:val="single" w:sz="6" w:space="0" w:color="005A9B" w:themeColor="background2"/>
              <w:right w:val="single" w:sz="4" w:space="0" w:color="FFFFFF" w:themeColor="background1"/>
            </w:tcBorders>
            <w:shd w:val="clear" w:color="auto" w:fill="005A9B" w:themeFill="background2"/>
          </w:tcPr>
          <w:p w:rsidR="00A373CC" w:rsidRPr="00CA0B33" w:rsidRDefault="00A373CC" w:rsidP="004E6A68">
            <w:pPr>
              <w:pStyle w:val="Tableheading"/>
              <w:widowControl w:val="0"/>
            </w:pPr>
            <w:r>
              <w:t>Support</w:t>
            </w:r>
          </w:p>
        </w:tc>
      </w:tr>
      <w:tr w:rsidR="00A373CC" w:rsidRPr="00CA0B33" w:rsidTr="00A373CC">
        <w:tc>
          <w:tcPr>
            <w:tcW w:w="0" w:type="auto"/>
            <w:tcBorders>
              <w:top w:val="single" w:sz="6" w:space="0" w:color="005A9B" w:themeColor="background2"/>
              <w:bottom w:val="single" w:sz="6" w:space="0" w:color="005A9B" w:themeColor="background2"/>
            </w:tcBorders>
          </w:tcPr>
          <w:p w:rsidR="00A373CC" w:rsidRPr="00CA0B33" w:rsidRDefault="00A373CC" w:rsidP="004E6A68">
            <w:pPr>
              <w:pStyle w:val="Tablenormal0"/>
            </w:pPr>
            <w:r w:rsidRPr="00152C3B">
              <w:t>Ministry of Civil Defence &amp; Emergency Management (MCDEM)</w:t>
            </w:r>
          </w:p>
        </w:tc>
        <w:tc>
          <w:tcPr>
            <w:tcW w:w="3298" w:type="dxa"/>
            <w:tcBorders>
              <w:top w:val="single" w:sz="6" w:space="0" w:color="005A9B" w:themeColor="background2"/>
              <w:bottom w:val="single" w:sz="6" w:space="0" w:color="005A9B" w:themeColor="background2"/>
            </w:tcBorders>
          </w:tcPr>
          <w:p w:rsidR="00A373CC" w:rsidRDefault="00A373CC" w:rsidP="004E6A68">
            <w:pPr>
              <w:pStyle w:val="Tablenormal0"/>
            </w:pPr>
            <w:r>
              <w:t>Supports recovery efforts when beyond the capability of local authorities and CDEM Groups. Provides an essential link to national agencies and services.</w:t>
            </w:r>
          </w:p>
          <w:p w:rsidR="00A373CC" w:rsidRPr="00B527C0" w:rsidRDefault="00A373CC" w:rsidP="004E6A68">
            <w:pPr>
              <w:pStyle w:val="Tablenormal0"/>
            </w:pPr>
          </w:p>
        </w:tc>
        <w:tc>
          <w:tcPr>
            <w:tcW w:w="2410" w:type="dxa"/>
            <w:tcBorders>
              <w:top w:val="single" w:sz="6" w:space="0" w:color="005A9B" w:themeColor="background2"/>
              <w:bottom w:val="single" w:sz="6" w:space="0" w:color="005A9B" w:themeColor="background2"/>
            </w:tcBorders>
          </w:tcPr>
          <w:p w:rsidR="00A373CC" w:rsidRPr="00B527C0" w:rsidRDefault="00A373CC" w:rsidP="004E6A68">
            <w:pPr>
              <w:pStyle w:val="Tablenormal0"/>
            </w:pPr>
            <w:r>
              <w:t>Local authorities</w:t>
            </w:r>
          </w:p>
        </w:tc>
        <w:tc>
          <w:tcPr>
            <w:tcW w:w="6881" w:type="dxa"/>
            <w:tcBorders>
              <w:top w:val="single" w:sz="6" w:space="0" w:color="005A9B" w:themeColor="background2"/>
              <w:bottom w:val="single" w:sz="6" w:space="0" w:color="005A9B" w:themeColor="background2"/>
            </w:tcBorders>
          </w:tcPr>
          <w:p w:rsidR="00A373CC" w:rsidRPr="00B50B2F" w:rsidRDefault="00A373CC" w:rsidP="004E6A68">
            <w:pPr>
              <w:pStyle w:val="Tablenormal0"/>
              <w:rPr>
                <w:b/>
              </w:rPr>
            </w:pPr>
            <w:r w:rsidRPr="00B50B2F">
              <w:rPr>
                <w:b/>
              </w:rPr>
              <w:t>Essential infrastructure repair and recovery funding (60%: 40%)</w:t>
            </w:r>
          </w:p>
          <w:p w:rsidR="00A373CC" w:rsidRPr="00434801" w:rsidRDefault="00A373CC" w:rsidP="004E6A68">
            <w:pPr>
              <w:pStyle w:val="Tablenormal0"/>
            </w:pPr>
            <w:r w:rsidRPr="00434801">
              <w:t xml:space="preserve">The following </w:t>
            </w:r>
            <w:r>
              <w:t>e</w:t>
            </w:r>
            <w:r w:rsidRPr="00434801">
              <w:t>ssential infrastructure recovery repairs may be eligible for government assistance:</w:t>
            </w:r>
          </w:p>
          <w:p w:rsidR="00A373CC" w:rsidRPr="00434801" w:rsidRDefault="00A373CC" w:rsidP="004E6A68">
            <w:pPr>
              <w:pStyle w:val="Tablebullet"/>
              <w:widowControl w:val="0"/>
            </w:pPr>
            <w:r w:rsidRPr="00434801">
              <w:t>repair or recovery of essential local authority infrastructure assets</w:t>
            </w:r>
            <w:r>
              <w:t xml:space="preserve">, including </w:t>
            </w:r>
            <w:r w:rsidRPr="00434801">
              <w:t xml:space="preserve">water, storm water, electrical, sewerage and gas facilities and other structures, such as retaining walls and tunnels </w:t>
            </w:r>
            <w:r>
              <w:t>that</w:t>
            </w:r>
            <w:r w:rsidRPr="00434801">
              <w:t xml:space="preserve"> essential services depend</w:t>
            </w:r>
            <w:r>
              <w:t xml:space="preserve"> on</w:t>
            </w:r>
          </w:p>
          <w:p w:rsidR="00A373CC" w:rsidRPr="00434801" w:rsidRDefault="00A373CC" w:rsidP="004E6A68">
            <w:pPr>
              <w:pStyle w:val="Tablebullet"/>
              <w:widowControl w:val="0"/>
            </w:pPr>
            <w:r w:rsidRPr="00434801">
              <w:t xml:space="preserve">repair or recovery of river management systems (including drainage schemes </w:t>
            </w:r>
            <w:r>
              <w:t>that</w:t>
            </w:r>
            <w:r w:rsidRPr="00434801">
              <w:t xml:space="preserve"> are part of integrated river systems) where there is major community disruption or continuing risk to life</w:t>
            </w:r>
          </w:p>
          <w:p w:rsidR="00A373CC" w:rsidRDefault="00A373CC" w:rsidP="004E6A68">
            <w:pPr>
              <w:pStyle w:val="Tablebullet"/>
              <w:widowControl w:val="0"/>
            </w:pPr>
            <w:r w:rsidRPr="00434801">
              <w:t xml:space="preserve">repair or recovery of other community assets damaged </w:t>
            </w:r>
            <w:r>
              <w:t>due to</w:t>
            </w:r>
            <w:r w:rsidRPr="00434801">
              <w:t xml:space="preserve"> failure of flood protection schemes.</w:t>
            </w:r>
          </w:p>
          <w:p w:rsidR="00A373CC" w:rsidRPr="00B527C0" w:rsidRDefault="00A373CC" w:rsidP="004E6A68">
            <w:pPr>
              <w:pStyle w:val="Tablenormal0"/>
              <w:rPr>
                <w:rFonts w:cs="Arial"/>
              </w:rPr>
            </w:pPr>
            <w:r>
              <w:rPr>
                <w:rFonts w:cs="Arial"/>
              </w:rPr>
              <w:t xml:space="preserve">See </w:t>
            </w:r>
            <w:hyperlink r:id="rId23" w:history="1">
              <w:r w:rsidRPr="00831AF0">
                <w:rPr>
                  <w:rStyle w:val="Hyperlink"/>
                  <w:rFonts w:cs="Arial"/>
                </w:rPr>
                <w:t>33.5.1</w:t>
              </w:r>
            </w:hyperlink>
            <w:r>
              <w:rPr>
                <w:rFonts w:cs="Arial"/>
              </w:rPr>
              <w:t xml:space="preserve"> of the </w:t>
            </w:r>
            <w:hyperlink r:id="rId24" w:history="1">
              <w:r w:rsidRPr="00B527C0">
                <w:rPr>
                  <w:rStyle w:val="Hyperlink"/>
                  <w:rFonts w:cs="Arial"/>
                </w:rPr>
                <w:t>Guide to the National CDEM Plan</w:t>
              </w:r>
            </w:hyperlink>
            <w:r>
              <w:rPr>
                <w:rFonts w:cs="Arial"/>
              </w:rPr>
              <w:t xml:space="preserve">; </w:t>
            </w:r>
            <w:r w:rsidRPr="00B527C0">
              <w:rPr>
                <w:rFonts w:cs="Arial"/>
              </w:rPr>
              <w:t xml:space="preserve">See 33.7, CDEM expense claims preparation and process and the </w:t>
            </w:r>
            <w:hyperlink r:id="rId25" w:history="1">
              <w:r w:rsidRPr="00B527C0">
                <w:rPr>
                  <w:rStyle w:val="Hyperlink"/>
                  <w:rFonts w:cs="Arial"/>
                </w:rPr>
                <w:t>Logistics in CDEM Directors Guideline</w:t>
              </w:r>
            </w:hyperlink>
            <w:r w:rsidRPr="00B527C0">
              <w:rPr>
                <w:rFonts w:cs="Arial"/>
              </w:rPr>
              <w:t xml:space="preserve"> [DGL 17/15] for more information on claims.</w:t>
            </w:r>
          </w:p>
        </w:tc>
      </w:tr>
      <w:tr w:rsidR="00A373CC" w:rsidRPr="00CA0B33" w:rsidTr="00A373CC">
        <w:tc>
          <w:tcPr>
            <w:tcW w:w="0" w:type="auto"/>
            <w:tcBorders>
              <w:top w:val="single" w:sz="6" w:space="0" w:color="005A9B" w:themeColor="background2"/>
              <w:bottom w:val="single" w:sz="6" w:space="0" w:color="005A9B" w:themeColor="background2"/>
            </w:tcBorders>
          </w:tcPr>
          <w:p w:rsidR="00A373CC" w:rsidRDefault="00A373CC" w:rsidP="004E6A68">
            <w:pPr>
              <w:pStyle w:val="Tablenormal0"/>
            </w:pPr>
            <w:r w:rsidRPr="00152C3B">
              <w:t>Ministry of Civil Defence &amp; Emergency Management (MCDEM)</w:t>
            </w:r>
          </w:p>
        </w:tc>
        <w:tc>
          <w:tcPr>
            <w:tcW w:w="3298" w:type="dxa"/>
            <w:tcBorders>
              <w:top w:val="single" w:sz="6" w:space="0" w:color="005A9B" w:themeColor="background2"/>
              <w:bottom w:val="single" w:sz="6" w:space="0" w:color="005A9B" w:themeColor="background2"/>
            </w:tcBorders>
          </w:tcPr>
          <w:p w:rsidR="00A373CC" w:rsidRPr="00B527C0" w:rsidRDefault="00A373CC" w:rsidP="004E6A68">
            <w:pPr>
              <w:pStyle w:val="Tablenormal0"/>
            </w:pPr>
          </w:p>
        </w:tc>
        <w:tc>
          <w:tcPr>
            <w:tcW w:w="2410" w:type="dxa"/>
            <w:tcBorders>
              <w:top w:val="single" w:sz="6" w:space="0" w:color="005A9B" w:themeColor="background2"/>
              <w:bottom w:val="single" w:sz="6" w:space="0" w:color="005A9B" w:themeColor="background2"/>
            </w:tcBorders>
          </w:tcPr>
          <w:p w:rsidR="00A373CC" w:rsidRPr="00B527C0" w:rsidRDefault="00A373CC" w:rsidP="004E6A68">
            <w:pPr>
              <w:pStyle w:val="Tablenormal0"/>
            </w:pPr>
            <w:r>
              <w:t>Local authorities</w:t>
            </w:r>
          </w:p>
        </w:tc>
        <w:tc>
          <w:tcPr>
            <w:tcW w:w="6881" w:type="dxa"/>
            <w:tcBorders>
              <w:top w:val="single" w:sz="6" w:space="0" w:color="005A9B" w:themeColor="background2"/>
              <w:bottom w:val="single" w:sz="6" w:space="0" w:color="005A9B" w:themeColor="background2"/>
            </w:tcBorders>
          </w:tcPr>
          <w:p w:rsidR="00A373CC" w:rsidRPr="00B50B2F" w:rsidRDefault="00A373CC" w:rsidP="004E6A68">
            <w:pPr>
              <w:pStyle w:val="Tablenormal0"/>
              <w:rPr>
                <w:b/>
              </w:rPr>
            </w:pPr>
            <w:r w:rsidRPr="00B50B2F">
              <w:rPr>
                <w:b/>
              </w:rPr>
              <w:t>Special policy funding</w:t>
            </w:r>
          </w:p>
          <w:p w:rsidR="00A373CC" w:rsidRDefault="00A373CC" w:rsidP="004E6A68">
            <w:pPr>
              <w:pStyle w:val="Tablenormal0"/>
            </w:pPr>
            <w:r>
              <w:t>Special p</w:t>
            </w:r>
            <w:r w:rsidRPr="00B527C0">
              <w:t xml:space="preserve">olicies support local authorities to undertake recovery work that will decrease the likelihood of recurrence of an emergency. This may include upgrading facilities. </w:t>
            </w:r>
          </w:p>
          <w:p w:rsidR="00A373CC" w:rsidRDefault="00A373CC" w:rsidP="004E6A68">
            <w:pPr>
              <w:pStyle w:val="Tablenormal0"/>
            </w:pPr>
            <w:r w:rsidRPr="00B527C0">
              <w:t xml:space="preserve">Government expects local authorities to consider future risk reduction as part of recovery. However, </w:t>
            </w:r>
            <w:r>
              <w:t xml:space="preserve">if </w:t>
            </w:r>
            <w:r w:rsidRPr="00B527C0">
              <w:t>local authorities consider they face circumstances that warrant an exception</w:t>
            </w:r>
            <w:r>
              <w:t xml:space="preserve"> to policies</w:t>
            </w:r>
            <w:r w:rsidRPr="00B527C0">
              <w:t xml:space="preserve">, </w:t>
            </w:r>
            <w:r>
              <w:t xml:space="preserve">in scope or amount of assistance they </w:t>
            </w:r>
            <w:r w:rsidRPr="00B527C0">
              <w:t>should advise MCDEM that they seek extraordinary assistance</w:t>
            </w:r>
            <w:r>
              <w:t>.</w:t>
            </w:r>
            <w:r w:rsidRPr="00B527C0">
              <w:t xml:space="preserve"> </w:t>
            </w:r>
          </w:p>
          <w:p w:rsidR="00A373CC" w:rsidRPr="00434801" w:rsidRDefault="00A373CC" w:rsidP="004E6A68">
            <w:pPr>
              <w:pStyle w:val="Tablenormal0"/>
            </w:pPr>
            <w:r>
              <w:rPr>
                <w:rFonts w:cs="Arial"/>
              </w:rPr>
              <w:t xml:space="preserve">See </w:t>
            </w:r>
            <w:hyperlink r:id="rId26" w:history="1">
              <w:r w:rsidRPr="00831AF0">
                <w:rPr>
                  <w:rStyle w:val="Hyperlink"/>
                  <w:rFonts w:cs="Arial"/>
                </w:rPr>
                <w:t>33.6.1</w:t>
              </w:r>
            </w:hyperlink>
            <w:r>
              <w:rPr>
                <w:rFonts w:cs="Arial"/>
              </w:rPr>
              <w:t xml:space="preserve"> of the </w:t>
            </w:r>
            <w:hyperlink r:id="rId27" w:history="1">
              <w:r w:rsidRPr="00B527C0">
                <w:rPr>
                  <w:rStyle w:val="Hyperlink"/>
                  <w:rFonts w:cs="Arial"/>
                </w:rPr>
                <w:t>Guide to the National CDEM Plan</w:t>
              </w:r>
            </w:hyperlink>
          </w:p>
        </w:tc>
      </w:tr>
      <w:tr w:rsidR="00A373CC" w:rsidRPr="00CA0B33" w:rsidTr="00A373CC">
        <w:tc>
          <w:tcPr>
            <w:tcW w:w="0" w:type="auto"/>
            <w:tcBorders>
              <w:top w:val="single" w:sz="6" w:space="0" w:color="005A9B" w:themeColor="background2"/>
              <w:bottom w:val="single" w:sz="6" w:space="0" w:color="005A9B" w:themeColor="background2"/>
            </w:tcBorders>
          </w:tcPr>
          <w:p w:rsidR="00A373CC" w:rsidRDefault="00A373CC" w:rsidP="004E6A68">
            <w:pPr>
              <w:pStyle w:val="Tablenormal0"/>
            </w:pPr>
            <w:r w:rsidRPr="00152C3B">
              <w:t>Ministry of Civil Defence &amp; Emergency Management (MCDEM)</w:t>
            </w:r>
          </w:p>
        </w:tc>
        <w:tc>
          <w:tcPr>
            <w:tcW w:w="3298" w:type="dxa"/>
            <w:tcBorders>
              <w:top w:val="single" w:sz="6" w:space="0" w:color="005A9B" w:themeColor="background2"/>
              <w:bottom w:val="single" w:sz="6" w:space="0" w:color="005A9B" w:themeColor="background2"/>
            </w:tcBorders>
          </w:tcPr>
          <w:p w:rsidR="00A373CC" w:rsidRPr="00B527C0" w:rsidRDefault="00A373CC" w:rsidP="004E6A68">
            <w:pPr>
              <w:pStyle w:val="Tablenormal0"/>
            </w:pPr>
          </w:p>
        </w:tc>
        <w:tc>
          <w:tcPr>
            <w:tcW w:w="2410" w:type="dxa"/>
            <w:tcBorders>
              <w:top w:val="single" w:sz="6" w:space="0" w:color="005A9B" w:themeColor="background2"/>
              <w:bottom w:val="single" w:sz="6" w:space="0" w:color="005A9B" w:themeColor="background2"/>
            </w:tcBorders>
          </w:tcPr>
          <w:p w:rsidR="00A373CC" w:rsidRDefault="00A373CC" w:rsidP="004E6A68">
            <w:pPr>
              <w:pStyle w:val="Tablenormal0"/>
            </w:pPr>
            <w:r>
              <w:t>Local authorities</w:t>
            </w:r>
          </w:p>
        </w:tc>
        <w:tc>
          <w:tcPr>
            <w:tcW w:w="6881" w:type="dxa"/>
            <w:tcBorders>
              <w:top w:val="single" w:sz="6" w:space="0" w:color="005A9B" w:themeColor="background2"/>
              <w:bottom w:val="single" w:sz="6" w:space="0" w:color="005A9B" w:themeColor="background2"/>
            </w:tcBorders>
          </w:tcPr>
          <w:p w:rsidR="00A373CC" w:rsidRDefault="00A373CC" w:rsidP="004E6A68">
            <w:pPr>
              <w:pStyle w:val="Tablenormal0"/>
            </w:pPr>
            <w:r w:rsidRPr="00B50B2F">
              <w:rPr>
                <w:b/>
              </w:rPr>
              <w:t xml:space="preserve">Advance payments for response and recovery costs </w:t>
            </w:r>
            <w:r>
              <w:t>Where significant response and recovery costs are expected that would be eligible for reimbursement under 60%: 40%,</w:t>
            </w:r>
            <w:r w:rsidRPr="000A5072">
              <w:t xml:space="preserve"> </w:t>
            </w:r>
            <w:r>
              <w:t>Government may provide advance payment based on local authority estimates.</w:t>
            </w:r>
          </w:p>
        </w:tc>
      </w:tr>
      <w:tr w:rsidR="00A373CC" w:rsidRPr="00CA0B33" w:rsidTr="00A373CC">
        <w:tc>
          <w:tcPr>
            <w:tcW w:w="0" w:type="auto"/>
            <w:tcBorders>
              <w:top w:val="single" w:sz="6" w:space="0" w:color="005A9B" w:themeColor="background2"/>
              <w:bottom w:val="single" w:sz="6" w:space="0" w:color="005A9B" w:themeColor="background2"/>
            </w:tcBorders>
          </w:tcPr>
          <w:p w:rsidR="00A373CC" w:rsidRDefault="00A373CC" w:rsidP="004E6A68">
            <w:pPr>
              <w:pStyle w:val="Tablenormal0"/>
            </w:pPr>
            <w:r w:rsidRPr="00152C3B">
              <w:t>Ministry of Civil Defence &amp; Emergency Management (MCDEM)</w:t>
            </w:r>
          </w:p>
        </w:tc>
        <w:tc>
          <w:tcPr>
            <w:tcW w:w="3298" w:type="dxa"/>
            <w:tcBorders>
              <w:top w:val="single" w:sz="6" w:space="0" w:color="005A9B" w:themeColor="background2"/>
              <w:bottom w:val="single" w:sz="6" w:space="0" w:color="005A9B" w:themeColor="background2"/>
            </w:tcBorders>
          </w:tcPr>
          <w:p w:rsidR="00A373CC" w:rsidRPr="00B527C0" w:rsidRDefault="00A373CC" w:rsidP="004E6A68">
            <w:pPr>
              <w:pStyle w:val="Tablenormal0"/>
              <w:rPr>
                <w:rFonts w:cs="Arial"/>
              </w:rPr>
            </w:pPr>
          </w:p>
        </w:tc>
        <w:tc>
          <w:tcPr>
            <w:tcW w:w="2410" w:type="dxa"/>
            <w:tcBorders>
              <w:top w:val="single" w:sz="6" w:space="0" w:color="005A9B" w:themeColor="background2"/>
              <w:bottom w:val="single" w:sz="6" w:space="0" w:color="005A9B" w:themeColor="background2"/>
            </w:tcBorders>
          </w:tcPr>
          <w:p w:rsidR="00A373CC" w:rsidRPr="00B527C0" w:rsidRDefault="00A373CC" w:rsidP="004E6A68">
            <w:pPr>
              <w:pStyle w:val="Tablenormal0"/>
              <w:rPr>
                <w:rFonts w:cs="Arial"/>
              </w:rPr>
            </w:pPr>
            <w:r>
              <w:t>Local authorities</w:t>
            </w:r>
          </w:p>
        </w:tc>
        <w:tc>
          <w:tcPr>
            <w:tcW w:w="6881" w:type="dxa"/>
            <w:tcBorders>
              <w:top w:val="single" w:sz="6" w:space="0" w:color="005A9B" w:themeColor="background2"/>
              <w:bottom w:val="single" w:sz="6" w:space="0" w:color="005A9B" w:themeColor="background2"/>
            </w:tcBorders>
          </w:tcPr>
          <w:p w:rsidR="00A373CC" w:rsidRPr="00B50B2F" w:rsidRDefault="00A373CC" w:rsidP="004E6A68">
            <w:pPr>
              <w:pStyle w:val="Tablenormal0"/>
              <w:rPr>
                <w:rFonts w:cs="Arial"/>
                <w:b/>
              </w:rPr>
            </w:pPr>
            <w:r w:rsidRPr="00B50B2F">
              <w:rPr>
                <w:rFonts w:cs="Arial"/>
                <w:b/>
              </w:rPr>
              <w:t>Disaster relief funds (Mayoral Relief Funds)</w:t>
            </w:r>
          </w:p>
          <w:p w:rsidR="00A373CC" w:rsidRDefault="00A373CC" w:rsidP="004E6A68">
            <w:pPr>
              <w:pStyle w:val="Tablenormal0"/>
              <w:rPr>
                <w:sz w:val="20"/>
                <w:szCs w:val="20"/>
              </w:rPr>
            </w:pPr>
            <w:r w:rsidRPr="00B527C0">
              <w:rPr>
                <w:rFonts w:cs="Arial"/>
              </w:rPr>
              <w:t>The Minister of Civil Defence, together with the Prime Minister or Minister of Finance, may authorise a contribution to a disaster relief fund of up to $100,000. Larger contributions need to be approved by Cabinet.</w:t>
            </w:r>
            <w:r>
              <w:rPr>
                <w:sz w:val="20"/>
                <w:szCs w:val="20"/>
              </w:rPr>
              <w:t xml:space="preserve"> </w:t>
            </w:r>
          </w:p>
          <w:p w:rsidR="00A373CC" w:rsidRPr="00434801" w:rsidRDefault="00A373CC" w:rsidP="004E6A68">
            <w:pPr>
              <w:pStyle w:val="Tablenormal0"/>
              <w:rPr>
                <w:rFonts w:cs="Arial"/>
              </w:rPr>
            </w:pPr>
            <w:r>
              <w:rPr>
                <w:rFonts w:cs="Arial"/>
              </w:rPr>
              <w:t xml:space="preserve">See </w:t>
            </w:r>
            <w:hyperlink r:id="rId28" w:history="1">
              <w:r w:rsidRPr="00831AF0">
                <w:rPr>
                  <w:rStyle w:val="Hyperlink"/>
                  <w:rFonts w:cs="Arial"/>
                </w:rPr>
                <w:t>33.5.2</w:t>
              </w:r>
            </w:hyperlink>
            <w:r>
              <w:rPr>
                <w:rFonts w:cs="Arial"/>
              </w:rPr>
              <w:t xml:space="preserve"> of the </w:t>
            </w:r>
            <w:hyperlink r:id="rId29" w:history="1">
              <w:r w:rsidRPr="00B527C0">
                <w:rPr>
                  <w:rStyle w:val="Hyperlink"/>
                  <w:rFonts w:cs="Arial"/>
                </w:rPr>
                <w:t>Guide to the National CDEM Plan</w:t>
              </w:r>
            </w:hyperlink>
          </w:p>
        </w:tc>
      </w:tr>
      <w:tr w:rsidR="00A373CC" w:rsidRPr="00CA0B33" w:rsidTr="00A373CC">
        <w:tc>
          <w:tcPr>
            <w:tcW w:w="0" w:type="auto"/>
            <w:tcBorders>
              <w:top w:val="single" w:sz="6" w:space="0" w:color="005A9B" w:themeColor="background2"/>
              <w:bottom w:val="single" w:sz="6" w:space="0" w:color="005A9B" w:themeColor="background2"/>
            </w:tcBorders>
          </w:tcPr>
          <w:p w:rsidR="00A373CC" w:rsidRPr="00152C3B" w:rsidRDefault="00A373CC" w:rsidP="004E6A68">
            <w:pPr>
              <w:pStyle w:val="Tablenormal0"/>
            </w:pPr>
            <w:r w:rsidRPr="00152C3B">
              <w:t>New Zealand Transport Agency (NZTA)</w:t>
            </w:r>
          </w:p>
        </w:tc>
        <w:tc>
          <w:tcPr>
            <w:tcW w:w="3298" w:type="dxa"/>
            <w:tcBorders>
              <w:top w:val="single" w:sz="6" w:space="0" w:color="005A9B" w:themeColor="background2"/>
              <w:bottom w:val="single" w:sz="6" w:space="0" w:color="005A9B" w:themeColor="background2"/>
            </w:tcBorders>
          </w:tcPr>
          <w:p w:rsidR="00A373CC" w:rsidRPr="00152C3B" w:rsidRDefault="00A373CC" w:rsidP="004E6A68">
            <w:pPr>
              <w:pStyle w:val="Tablenormal0"/>
            </w:pPr>
            <w:r w:rsidRPr="00152C3B">
              <w:t>Assistance with repair of local roads and bridges</w:t>
            </w:r>
          </w:p>
        </w:tc>
        <w:tc>
          <w:tcPr>
            <w:tcW w:w="2410" w:type="dxa"/>
            <w:tcBorders>
              <w:top w:val="single" w:sz="6" w:space="0" w:color="005A9B" w:themeColor="background2"/>
              <w:bottom w:val="single" w:sz="6" w:space="0" w:color="005A9B" w:themeColor="background2"/>
            </w:tcBorders>
          </w:tcPr>
          <w:p w:rsidR="00A373CC" w:rsidRPr="00152C3B" w:rsidRDefault="00A373CC" w:rsidP="004E6A68">
            <w:pPr>
              <w:pStyle w:val="Tablenormal0"/>
            </w:pPr>
            <w:r w:rsidRPr="00152C3B">
              <w:t>Local authorities</w:t>
            </w:r>
          </w:p>
        </w:tc>
        <w:tc>
          <w:tcPr>
            <w:tcW w:w="6881" w:type="dxa"/>
            <w:tcBorders>
              <w:top w:val="single" w:sz="6" w:space="0" w:color="005A9B" w:themeColor="background2"/>
              <w:bottom w:val="single" w:sz="6" w:space="0" w:color="005A9B" w:themeColor="background2"/>
            </w:tcBorders>
          </w:tcPr>
          <w:p w:rsidR="00A373CC" w:rsidRPr="00152C3B" w:rsidRDefault="00A373CC" w:rsidP="004E6A68">
            <w:pPr>
              <w:pStyle w:val="Tablenormal0"/>
            </w:pPr>
            <w:r w:rsidRPr="00B50B2F">
              <w:rPr>
                <w:b/>
              </w:rPr>
              <w:t>Road subsidy assistance</w:t>
            </w:r>
            <w:r>
              <w:t xml:space="preserve"> NZTA</w:t>
            </w:r>
            <w:r w:rsidRPr="00152C3B">
              <w:t xml:space="preserve"> may provide financial support towards the costs of road and bridge repair after a natural disaster. Subsidy rates differ between local authorities. </w:t>
            </w:r>
          </w:p>
          <w:p w:rsidR="00A373CC" w:rsidRPr="00152C3B" w:rsidRDefault="00A373CC" w:rsidP="004E6A68">
            <w:pPr>
              <w:pStyle w:val="Tablenormal0"/>
            </w:pPr>
            <w:r w:rsidRPr="00152C3B">
              <w:t xml:space="preserve">See </w:t>
            </w:r>
            <w:hyperlink r:id="rId30" w:history="1">
              <w:r w:rsidRPr="00152C3B">
                <w:rPr>
                  <w:rStyle w:val="Hyperlink"/>
                  <w:color w:val="auto"/>
                  <w:u w:val="none"/>
                </w:rPr>
                <w:t>33.5.3</w:t>
              </w:r>
            </w:hyperlink>
            <w:r w:rsidRPr="00152C3B">
              <w:t xml:space="preserve"> of the </w:t>
            </w:r>
            <w:hyperlink r:id="rId31" w:history="1">
              <w:r w:rsidRPr="00152C3B">
                <w:rPr>
                  <w:rStyle w:val="Hyperlink"/>
                  <w:color w:val="auto"/>
                  <w:u w:val="none"/>
                </w:rPr>
                <w:t>Guide to the National CDEM Plan</w:t>
              </w:r>
            </w:hyperlink>
            <w:r w:rsidRPr="00152C3B">
              <w:t xml:space="preserve"> and </w:t>
            </w:r>
            <w:hyperlink r:id="rId32" w:history="1">
              <w:r w:rsidRPr="00152C3B">
                <w:rPr>
                  <w:rStyle w:val="Hyperlink"/>
                </w:rPr>
                <w:t>NZTA</w:t>
              </w:r>
            </w:hyperlink>
            <w:r w:rsidRPr="00152C3B">
              <w:t xml:space="preserve"> </w:t>
            </w:r>
          </w:p>
        </w:tc>
      </w:tr>
      <w:tr w:rsidR="00A373CC" w:rsidRPr="00CA0B33" w:rsidTr="00A373CC">
        <w:tc>
          <w:tcPr>
            <w:tcW w:w="0" w:type="auto"/>
            <w:tcBorders>
              <w:top w:val="single" w:sz="6" w:space="0" w:color="005A9B" w:themeColor="background2"/>
              <w:bottom w:val="single" w:sz="6" w:space="0" w:color="005A9B" w:themeColor="background2"/>
            </w:tcBorders>
          </w:tcPr>
          <w:p w:rsidR="00A373CC" w:rsidRDefault="00A373CC" w:rsidP="004E6A68">
            <w:pPr>
              <w:widowControl w:val="0"/>
              <w:rPr>
                <w:rFonts w:cs="Arial"/>
              </w:rPr>
            </w:pPr>
            <w:r>
              <w:rPr>
                <w:rFonts w:cs="Arial"/>
              </w:rPr>
              <w:t>Department of Internal Affairs (</w:t>
            </w:r>
            <w:r w:rsidRPr="00152C3B">
              <w:rPr>
                <w:rFonts w:cs="Arial"/>
              </w:rPr>
              <w:t>DIA</w:t>
            </w:r>
            <w:r>
              <w:rPr>
                <w:rFonts w:cs="Arial"/>
              </w:rPr>
              <w:t>)</w:t>
            </w:r>
          </w:p>
        </w:tc>
        <w:tc>
          <w:tcPr>
            <w:tcW w:w="3298" w:type="dxa"/>
            <w:tcBorders>
              <w:top w:val="single" w:sz="6" w:space="0" w:color="005A9B" w:themeColor="background2"/>
              <w:bottom w:val="single" w:sz="6" w:space="0" w:color="005A9B" w:themeColor="background2"/>
            </w:tcBorders>
          </w:tcPr>
          <w:p w:rsidR="00A373CC" w:rsidRDefault="00A373CC" w:rsidP="004E6A68">
            <w:r>
              <w:t>Supporting Local authorities’ post e</w:t>
            </w:r>
            <w:r w:rsidRPr="008D4F54">
              <w:t xml:space="preserve">arthquake </w:t>
            </w:r>
            <w:r>
              <w:t>s</w:t>
            </w:r>
            <w:r w:rsidRPr="008D4F54">
              <w:t xml:space="preserve">tatutory </w:t>
            </w:r>
            <w:r>
              <w:t>a</w:t>
            </w:r>
            <w:r w:rsidRPr="008D4F54">
              <w:t>ctivities</w:t>
            </w:r>
          </w:p>
          <w:p w:rsidR="00A373CC" w:rsidRPr="008D4F54" w:rsidRDefault="00A373CC" w:rsidP="004E6A68">
            <w:pPr>
              <w:pStyle w:val="Tablenormal0"/>
              <w:rPr>
                <w:rFonts w:ascii="Calibri" w:hAnsi="Calibri"/>
              </w:rPr>
            </w:pPr>
          </w:p>
        </w:tc>
        <w:tc>
          <w:tcPr>
            <w:tcW w:w="2410" w:type="dxa"/>
            <w:tcBorders>
              <w:top w:val="single" w:sz="6" w:space="0" w:color="005A9B" w:themeColor="background2"/>
              <w:bottom w:val="single" w:sz="6" w:space="0" w:color="005A9B" w:themeColor="background2"/>
            </w:tcBorders>
          </w:tcPr>
          <w:p w:rsidR="00A373CC" w:rsidRPr="00CA0B33" w:rsidRDefault="00A373CC" w:rsidP="004E6A68">
            <w:pPr>
              <w:widowControl w:val="0"/>
            </w:pPr>
            <w:r w:rsidRPr="008D4F54">
              <w:t xml:space="preserve">Local </w:t>
            </w:r>
            <w:r>
              <w:t>a</w:t>
            </w:r>
            <w:r w:rsidRPr="008D4F54">
              <w:t>uthorities</w:t>
            </w:r>
          </w:p>
        </w:tc>
        <w:tc>
          <w:tcPr>
            <w:tcW w:w="6881" w:type="dxa"/>
            <w:tcBorders>
              <w:top w:val="single" w:sz="6" w:space="0" w:color="005A9B" w:themeColor="background2"/>
              <w:bottom w:val="single" w:sz="6" w:space="0" w:color="005A9B" w:themeColor="background2"/>
            </w:tcBorders>
          </w:tcPr>
          <w:p w:rsidR="00A373CC" w:rsidRDefault="00A373CC" w:rsidP="004E6A68">
            <w:r>
              <w:t>Orders in Council and other means enable l</w:t>
            </w:r>
            <w:r w:rsidRPr="008D4F54">
              <w:t xml:space="preserve">ocal </w:t>
            </w:r>
            <w:r>
              <w:t>a</w:t>
            </w:r>
            <w:r w:rsidRPr="008D4F54">
              <w:t>uthorities</w:t>
            </w:r>
            <w:r>
              <w:t xml:space="preserve"> to meet their statutory obligations. These are assessed on a case by case basis.</w:t>
            </w:r>
          </w:p>
          <w:p w:rsidR="00A373CC" w:rsidRPr="008D4F54" w:rsidRDefault="00A373CC" w:rsidP="004E6A68">
            <w:pPr>
              <w:rPr>
                <w:b/>
              </w:rPr>
            </w:pPr>
            <w:r>
              <w:t xml:space="preserve">See Treasury’s </w:t>
            </w:r>
            <w:hyperlink r:id="rId33" w:history="1">
              <w:r w:rsidRPr="00643E3C">
                <w:rPr>
                  <w:rStyle w:val="Hyperlink"/>
                </w:rPr>
                <w:t>Kaikōura Earthquake Recovery Budget 2017 Initiatives</w:t>
              </w:r>
            </w:hyperlink>
          </w:p>
        </w:tc>
      </w:tr>
    </w:tbl>
    <w:p w:rsidR="00EF48A4" w:rsidRDefault="00FE0825" w:rsidP="00FE0825">
      <w:pPr>
        <w:pStyle w:val="Heading1NoNumbering"/>
      </w:pPr>
      <w:r>
        <w:t>Other support</w:t>
      </w:r>
    </w:p>
    <w:tbl>
      <w:tblPr>
        <w:tblStyle w:val="TableGrid"/>
        <w:tblW w:w="0" w:type="auto"/>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firstRow="1" w:lastRow="0" w:firstColumn="1" w:lastColumn="0" w:noHBand="0" w:noVBand="1"/>
      </w:tblPr>
      <w:tblGrid>
        <w:gridCol w:w="2518"/>
        <w:gridCol w:w="3112"/>
        <w:gridCol w:w="2558"/>
        <w:gridCol w:w="6881"/>
      </w:tblGrid>
      <w:tr w:rsidR="00A373CC" w:rsidRPr="00CA0B33" w:rsidTr="00A373CC">
        <w:trPr>
          <w:tblHeader/>
        </w:trPr>
        <w:tc>
          <w:tcPr>
            <w:tcW w:w="2518" w:type="dxa"/>
            <w:tcBorders>
              <w:top w:val="single" w:sz="12" w:space="0" w:color="005A9B" w:themeColor="background2"/>
              <w:bottom w:val="single" w:sz="6" w:space="0" w:color="005A9B" w:themeColor="background2"/>
              <w:right w:val="single" w:sz="4" w:space="0" w:color="FFFFFF" w:themeColor="background1"/>
            </w:tcBorders>
            <w:shd w:val="clear" w:color="auto" w:fill="005A9B" w:themeFill="background2"/>
          </w:tcPr>
          <w:p w:rsidR="00A373CC" w:rsidRPr="00CA0B33" w:rsidRDefault="00A373CC" w:rsidP="004E6A68">
            <w:pPr>
              <w:pStyle w:val="Tableheading"/>
              <w:widowControl w:val="0"/>
            </w:pPr>
            <w:r>
              <w:t>Agency</w:t>
            </w:r>
          </w:p>
        </w:tc>
        <w:tc>
          <w:tcPr>
            <w:tcW w:w="3112" w:type="dxa"/>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A373CC" w:rsidRDefault="00A373CC" w:rsidP="004E6A68">
            <w:pPr>
              <w:pStyle w:val="Tableheading"/>
              <w:widowControl w:val="0"/>
            </w:pPr>
            <w:r>
              <w:t>Role in recovery</w:t>
            </w:r>
          </w:p>
        </w:tc>
        <w:tc>
          <w:tcPr>
            <w:tcW w:w="2558" w:type="dxa"/>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A373CC" w:rsidRDefault="00A373CC" w:rsidP="004E6A68">
            <w:pPr>
              <w:pStyle w:val="Tableheading"/>
              <w:widowControl w:val="0"/>
            </w:pPr>
            <w:r>
              <w:t xml:space="preserve">Recipient </w:t>
            </w:r>
          </w:p>
        </w:tc>
        <w:tc>
          <w:tcPr>
            <w:tcW w:w="6881" w:type="dxa"/>
            <w:tcBorders>
              <w:top w:val="single" w:sz="12" w:space="0" w:color="005A9B" w:themeColor="background2"/>
              <w:left w:val="single" w:sz="6" w:space="0" w:color="FFFFFF" w:themeColor="background1"/>
              <w:bottom w:val="single" w:sz="6" w:space="0" w:color="005A9B" w:themeColor="background2"/>
              <w:right w:val="single" w:sz="4" w:space="0" w:color="FFFFFF" w:themeColor="background1"/>
            </w:tcBorders>
            <w:shd w:val="clear" w:color="auto" w:fill="005A9B" w:themeFill="background2"/>
          </w:tcPr>
          <w:p w:rsidR="00A373CC" w:rsidRPr="00CA0B33" w:rsidRDefault="00A373CC" w:rsidP="004E6A68">
            <w:pPr>
              <w:pStyle w:val="Tableheading"/>
              <w:widowControl w:val="0"/>
            </w:pPr>
            <w:r>
              <w:t>Support</w:t>
            </w:r>
          </w:p>
        </w:tc>
      </w:tr>
      <w:tr w:rsidR="00A373CC" w:rsidRPr="00CA0B33" w:rsidTr="00A373CC">
        <w:tc>
          <w:tcPr>
            <w:tcW w:w="2518" w:type="dxa"/>
            <w:tcBorders>
              <w:top w:val="single" w:sz="6" w:space="0" w:color="005A9B" w:themeColor="background2"/>
              <w:bottom w:val="single" w:sz="6" w:space="0" w:color="005A9B" w:themeColor="background2"/>
            </w:tcBorders>
          </w:tcPr>
          <w:p w:rsidR="00A373CC" w:rsidRDefault="00A373CC" w:rsidP="004E6A68">
            <w:pPr>
              <w:widowControl w:val="0"/>
              <w:rPr>
                <w:rFonts w:cs="Arial"/>
              </w:rPr>
            </w:pPr>
            <w:r>
              <w:rPr>
                <w:rFonts w:cs="Arial"/>
              </w:rPr>
              <w:t>Department of Internal Affairs (</w:t>
            </w:r>
            <w:r w:rsidRPr="00152C3B">
              <w:rPr>
                <w:rFonts w:cs="Arial"/>
              </w:rPr>
              <w:t>DIA</w:t>
            </w:r>
            <w:r>
              <w:rPr>
                <w:rFonts w:cs="Arial"/>
              </w:rPr>
              <w:t>)</w:t>
            </w:r>
          </w:p>
        </w:tc>
        <w:tc>
          <w:tcPr>
            <w:tcW w:w="3112" w:type="dxa"/>
            <w:tcBorders>
              <w:top w:val="single" w:sz="6" w:space="0" w:color="005A9B" w:themeColor="background2"/>
              <w:bottom w:val="single" w:sz="6" w:space="0" w:color="005A9B" w:themeColor="background2"/>
            </w:tcBorders>
          </w:tcPr>
          <w:p w:rsidR="00A373CC" w:rsidRPr="008D4F54" w:rsidRDefault="00A373CC" w:rsidP="004E6A68">
            <w:pPr>
              <w:rPr>
                <w:rFonts w:ascii="Calibri" w:hAnsi="Calibri"/>
              </w:rPr>
            </w:pPr>
            <w:r>
              <w:t xml:space="preserve">Lotteries funding </w:t>
            </w:r>
          </w:p>
        </w:tc>
        <w:tc>
          <w:tcPr>
            <w:tcW w:w="2558" w:type="dxa"/>
            <w:tcBorders>
              <w:top w:val="single" w:sz="6" w:space="0" w:color="005A9B" w:themeColor="background2"/>
              <w:bottom w:val="single" w:sz="6" w:space="0" w:color="005A9B" w:themeColor="background2"/>
            </w:tcBorders>
          </w:tcPr>
          <w:p w:rsidR="00A373CC" w:rsidRPr="00CA0B33" w:rsidRDefault="00A373CC" w:rsidP="00FE0825">
            <w:pPr>
              <w:widowControl w:val="0"/>
            </w:pPr>
            <w:r>
              <w:t>Community organisations</w:t>
            </w:r>
          </w:p>
        </w:tc>
        <w:tc>
          <w:tcPr>
            <w:tcW w:w="6881" w:type="dxa"/>
            <w:tcBorders>
              <w:top w:val="single" w:sz="6" w:space="0" w:color="005A9B" w:themeColor="background2"/>
              <w:bottom w:val="single" w:sz="6" w:space="0" w:color="005A9B" w:themeColor="background2"/>
            </w:tcBorders>
          </w:tcPr>
          <w:p w:rsidR="00A373CC" w:rsidRDefault="00A373CC" w:rsidP="004E6A68">
            <w:pPr>
              <w:pStyle w:val="Tablenormal0"/>
              <w:rPr>
                <w:rFonts w:ascii="Calibri" w:hAnsi="Calibri"/>
              </w:rPr>
            </w:pPr>
            <w:r>
              <w:t>The Lottery Grants Board, lottery distribution committees and the Minister's Discretionary Fund are serviced by Department of Internal Affairs. Special funds must be approved by the Lottery Grants Board. </w:t>
            </w:r>
          </w:p>
          <w:p w:rsidR="00A373CC" w:rsidRPr="008D4F54" w:rsidRDefault="00A373CC" w:rsidP="004E6A68">
            <w:pPr>
              <w:rPr>
                <w:rFonts w:cs="Arial"/>
              </w:rPr>
            </w:pPr>
            <w:r>
              <w:t xml:space="preserve">See </w:t>
            </w:r>
            <w:hyperlink r:id="rId34" w:history="1">
              <w:r w:rsidRPr="008D4F54">
                <w:rPr>
                  <w:rStyle w:val="Hyperlink"/>
                </w:rPr>
                <w:t>Lottery Grants Board</w:t>
              </w:r>
            </w:hyperlink>
            <w:r>
              <w:t xml:space="preserve"> and</w:t>
            </w:r>
            <w:r w:rsidRPr="008D4F54">
              <w:t xml:space="preserve"> </w:t>
            </w:r>
            <w:hyperlink r:id="rId35" w:history="1">
              <w:r w:rsidRPr="008D4F54">
                <w:rPr>
                  <w:rStyle w:val="Hyperlink"/>
                </w:rPr>
                <w:t>Lottery Hurunui Kaikōura Marlborough Community Facilities Earthquake Fund</w:t>
              </w:r>
            </w:hyperlink>
            <w:r>
              <w:t xml:space="preserve"> </w:t>
            </w:r>
          </w:p>
        </w:tc>
      </w:tr>
      <w:tr w:rsidR="00A373CC" w:rsidRPr="00CA0B33" w:rsidTr="00A373CC">
        <w:tc>
          <w:tcPr>
            <w:tcW w:w="2518" w:type="dxa"/>
            <w:tcBorders>
              <w:top w:val="single" w:sz="6" w:space="0" w:color="005A9B" w:themeColor="background2"/>
              <w:bottom w:val="single" w:sz="6" w:space="0" w:color="005A9B" w:themeColor="background2"/>
            </w:tcBorders>
          </w:tcPr>
          <w:p w:rsidR="00A373CC" w:rsidRPr="001B1C30" w:rsidRDefault="00A373CC" w:rsidP="004E6A68">
            <w:pPr>
              <w:pStyle w:val="TableText"/>
              <w:rPr>
                <w:highlight w:val="green"/>
              </w:rPr>
            </w:pPr>
            <w:r w:rsidRPr="00152C3B">
              <w:t>Ministry of Social Development (MSD)</w:t>
            </w:r>
          </w:p>
        </w:tc>
        <w:tc>
          <w:tcPr>
            <w:tcW w:w="3112" w:type="dxa"/>
            <w:tcBorders>
              <w:top w:val="single" w:sz="6" w:space="0" w:color="005A9B" w:themeColor="background2"/>
              <w:bottom w:val="single" w:sz="6" w:space="0" w:color="005A9B" w:themeColor="background2"/>
            </w:tcBorders>
          </w:tcPr>
          <w:p w:rsidR="00A373CC" w:rsidRDefault="00A373CC" w:rsidP="004E6A68">
            <w:pPr>
              <w:pStyle w:val="TableText"/>
            </w:pPr>
            <w:r>
              <w:t>Financial Assistance</w:t>
            </w:r>
          </w:p>
        </w:tc>
        <w:tc>
          <w:tcPr>
            <w:tcW w:w="2558" w:type="dxa"/>
            <w:tcBorders>
              <w:top w:val="single" w:sz="6" w:space="0" w:color="005A9B" w:themeColor="background2"/>
              <w:bottom w:val="single" w:sz="6" w:space="0" w:color="005A9B" w:themeColor="background2"/>
            </w:tcBorders>
          </w:tcPr>
          <w:p w:rsidR="00A373CC" w:rsidRDefault="00A373CC" w:rsidP="004E6A68">
            <w:pPr>
              <w:pStyle w:val="TableText"/>
            </w:pPr>
            <w:r>
              <w:t>Farms, local authority parks and reserves</w:t>
            </w:r>
          </w:p>
        </w:tc>
        <w:tc>
          <w:tcPr>
            <w:tcW w:w="6881" w:type="dxa"/>
            <w:tcBorders>
              <w:top w:val="single" w:sz="6" w:space="0" w:color="005A9B" w:themeColor="background2"/>
              <w:bottom w:val="single" w:sz="6" w:space="0" w:color="005A9B" w:themeColor="background2"/>
            </w:tcBorders>
          </w:tcPr>
          <w:p w:rsidR="00A373CC" w:rsidRDefault="00A373CC" w:rsidP="004E6A68">
            <w:pPr>
              <w:pStyle w:val="TableText"/>
            </w:pPr>
            <w:r w:rsidRPr="00723308">
              <w:rPr>
                <w:b/>
              </w:rPr>
              <w:t>Enhanced Taskforce Green</w:t>
            </w:r>
            <w:r>
              <w:t xml:space="preserve"> </w:t>
            </w:r>
          </w:p>
          <w:p w:rsidR="00A373CC" w:rsidRDefault="00A373CC" w:rsidP="004E6A68">
            <w:pPr>
              <w:pStyle w:val="TableText"/>
            </w:pPr>
            <w:r>
              <w:t>Labour assistance programmes help clear up and repair damage, eg fence clearance and repair, tree and debris removal.</w:t>
            </w:r>
          </w:p>
          <w:p w:rsidR="00A373CC" w:rsidRDefault="00A373CC" w:rsidP="004E6A68">
            <w:pPr>
              <w:pStyle w:val="TableText"/>
            </w:pPr>
            <w:r>
              <w:t xml:space="preserve">See </w:t>
            </w:r>
            <w:hyperlink r:id="rId36" w:anchor="null" w:history="1">
              <w:r w:rsidRPr="009623D3">
                <w:rPr>
                  <w:rStyle w:val="Hyperlink"/>
                </w:rPr>
                <w:t>Enhanced Taskforce Green</w:t>
              </w:r>
            </w:hyperlink>
          </w:p>
        </w:tc>
      </w:tr>
      <w:tr w:rsidR="00A373CC" w:rsidTr="00A373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hideMark/>
          </w:tcPr>
          <w:p w:rsidR="00A373CC" w:rsidRDefault="00A373CC" w:rsidP="004E6A68">
            <w:pPr>
              <w:widowControl w:val="0"/>
            </w:pPr>
            <w:r w:rsidRPr="00152C3B">
              <w:t>Department of Conservation</w:t>
            </w:r>
          </w:p>
          <w:p w:rsidR="00A373CC" w:rsidRDefault="00A373CC" w:rsidP="00CD03F7">
            <w:pPr>
              <w:widowControl w:val="0"/>
            </w:pPr>
            <w:r>
              <w:t>(D</w:t>
            </w:r>
            <w:r w:rsidR="00CD03F7">
              <w:t>O</w:t>
            </w:r>
            <w:r>
              <w:t>C)</w:t>
            </w:r>
          </w:p>
        </w:tc>
        <w:tc>
          <w:tcPr>
            <w:tcW w:w="3112" w:type="dxa"/>
            <w:hideMark/>
          </w:tcPr>
          <w:p w:rsidR="00A373CC" w:rsidRDefault="00A373CC" w:rsidP="004E6A68">
            <w:pPr>
              <w:pStyle w:val="Tablebullet"/>
              <w:numPr>
                <w:ilvl w:val="0"/>
                <w:numId w:val="0"/>
              </w:numPr>
              <w:rPr>
                <w:b/>
              </w:rPr>
            </w:pPr>
            <w:r>
              <w:t>Logistics, incident management, biodiversity and wildlife recovery, i</w:t>
            </w:r>
            <w:r w:rsidRPr="00FD77A3">
              <w:t>nfrastructure</w:t>
            </w:r>
            <w:r w:rsidRPr="009F67D1">
              <w:rPr>
                <w:b/>
              </w:rPr>
              <w:t xml:space="preserve"> </w:t>
            </w:r>
          </w:p>
          <w:p w:rsidR="00A373CC" w:rsidRDefault="00A373CC" w:rsidP="004E6A68">
            <w:pPr>
              <w:pStyle w:val="Tablenormal0"/>
            </w:pPr>
          </w:p>
          <w:p w:rsidR="00A373CC" w:rsidRDefault="00A373CC" w:rsidP="004E6A68">
            <w:pPr>
              <w:pStyle w:val="Tablenormal0"/>
            </w:pPr>
          </w:p>
        </w:tc>
        <w:tc>
          <w:tcPr>
            <w:tcW w:w="2558" w:type="dxa"/>
            <w:hideMark/>
          </w:tcPr>
          <w:p w:rsidR="00A373CC" w:rsidRDefault="00A373CC" w:rsidP="004E6A68">
            <w:pPr>
              <w:pStyle w:val="Tablenormal0"/>
            </w:pPr>
            <w:r>
              <w:t>Communities, tourism businesses</w:t>
            </w:r>
          </w:p>
        </w:tc>
        <w:tc>
          <w:tcPr>
            <w:tcW w:w="6881" w:type="dxa"/>
            <w:hideMark/>
          </w:tcPr>
          <w:p w:rsidR="00A373CC" w:rsidRPr="009F67D1" w:rsidRDefault="00A373CC" w:rsidP="004E6A68">
            <w:pPr>
              <w:pStyle w:val="Tablenormal0"/>
              <w:rPr>
                <w:b/>
              </w:rPr>
            </w:pPr>
            <w:r>
              <w:rPr>
                <w:b/>
              </w:rPr>
              <w:t>Logistics</w:t>
            </w:r>
          </w:p>
          <w:p w:rsidR="00A373CC" w:rsidRDefault="00A373CC" w:rsidP="004E6A68">
            <w:pPr>
              <w:pStyle w:val="Tablebullet"/>
            </w:pPr>
            <w:r>
              <w:t xml:space="preserve">Vehicles, including 4WD </w:t>
            </w:r>
          </w:p>
          <w:p w:rsidR="00A373CC" w:rsidRDefault="00A373CC" w:rsidP="004E6A68">
            <w:pPr>
              <w:pStyle w:val="Tablebullet"/>
            </w:pPr>
            <w:r>
              <w:t>Vessel fleet</w:t>
            </w:r>
          </w:p>
          <w:p w:rsidR="00A373CC" w:rsidRDefault="00A373CC" w:rsidP="004E6A68">
            <w:pPr>
              <w:pStyle w:val="Tablebullet"/>
            </w:pPr>
            <w:r>
              <w:t>CIMS trained staff across NZ</w:t>
            </w:r>
          </w:p>
          <w:p w:rsidR="00A373CC" w:rsidRDefault="00A373CC" w:rsidP="004E6A68">
            <w:pPr>
              <w:pStyle w:val="Tablebullet"/>
            </w:pPr>
            <w:r>
              <w:t>Response and recovery tools, and equipment, eg water pumps</w:t>
            </w:r>
          </w:p>
          <w:p w:rsidR="00A373CC" w:rsidRDefault="00A373CC" w:rsidP="004E6A68">
            <w:pPr>
              <w:pStyle w:val="Tablenormal0"/>
              <w:rPr>
                <w:b/>
              </w:rPr>
            </w:pPr>
            <w:r w:rsidRPr="009F67D1">
              <w:rPr>
                <w:b/>
              </w:rPr>
              <w:t>Biodiversity and wildlife recovery</w:t>
            </w:r>
          </w:p>
          <w:p w:rsidR="00A373CC" w:rsidRDefault="00A373CC" w:rsidP="004E6A68">
            <w:pPr>
              <w:pStyle w:val="Tablebullet"/>
            </w:pPr>
            <w:r>
              <w:t xml:space="preserve">Advice and guidance </w:t>
            </w:r>
          </w:p>
          <w:p w:rsidR="00A373CC" w:rsidRPr="009F67D1" w:rsidRDefault="00A373CC" w:rsidP="004E6A68">
            <w:pPr>
              <w:pStyle w:val="Tablebullet"/>
            </w:pPr>
            <w:r>
              <w:t>Concessions</w:t>
            </w:r>
          </w:p>
          <w:p w:rsidR="00A373CC" w:rsidRPr="00B35A2F" w:rsidRDefault="00A373CC" w:rsidP="00B35A2F">
            <w:pPr>
              <w:pStyle w:val="Tablebullet"/>
              <w:rPr>
                <w:b/>
              </w:rPr>
            </w:pPr>
            <w:r w:rsidRPr="009F67D1">
              <w:t>Connection</w:t>
            </w:r>
            <w:r>
              <w:t xml:space="preserve"> with tourism businesses and concessionaires </w:t>
            </w:r>
            <w:r w:rsidRPr="00B35A2F">
              <w:rPr>
                <w:b/>
              </w:rPr>
              <w:t xml:space="preserve">Infrastructure </w:t>
            </w:r>
          </w:p>
          <w:p w:rsidR="00A373CC" w:rsidRPr="00FD77A3" w:rsidRDefault="00A373CC" w:rsidP="004E6A68">
            <w:pPr>
              <w:pStyle w:val="Tablebullet"/>
              <w:rPr>
                <w:b/>
              </w:rPr>
            </w:pPr>
            <w:r w:rsidRPr="009F67D1">
              <w:t>Radio network across NZ</w:t>
            </w:r>
          </w:p>
          <w:p w:rsidR="00A373CC" w:rsidRPr="00FD77A3" w:rsidRDefault="00A373CC" w:rsidP="004E6A68">
            <w:pPr>
              <w:pStyle w:val="Tablebullet"/>
              <w:numPr>
                <w:ilvl w:val="0"/>
                <w:numId w:val="0"/>
              </w:numPr>
              <w:rPr>
                <w:b/>
              </w:rPr>
            </w:pPr>
            <w:r w:rsidRPr="00FD77A3">
              <w:rPr>
                <w:b/>
              </w:rPr>
              <w:t>Fire Response</w:t>
            </w:r>
          </w:p>
          <w:p w:rsidR="00A373CC" w:rsidRPr="00FD77A3" w:rsidRDefault="00A373CC" w:rsidP="00B35A2F">
            <w:pPr>
              <w:pStyle w:val="Tablebullet"/>
            </w:pPr>
            <w:r>
              <w:t>S</w:t>
            </w:r>
            <w:r w:rsidRPr="00FD77A3">
              <w:t xml:space="preserve">taff, services and equipment </w:t>
            </w:r>
          </w:p>
        </w:tc>
      </w:tr>
    </w:tbl>
    <w:p w:rsidR="00FE0825" w:rsidRPr="00FE0825" w:rsidRDefault="00FE0825" w:rsidP="00FE0825"/>
    <w:sectPr w:rsidR="00FE0825" w:rsidRPr="00FE0825" w:rsidSect="00F807BF">
      <w:headerReference w:type="even" r:id="rId37"/>
      <w:headerReference w:type="default" r:id="rId38"/>
      <w:footerReference w:type="default" r:id="rId39"/>
      <w:headerReference w:type="first" r:id="rId40"/>
      <w:pgSz w:w="16838" w:h="11906" w:orient="landscape"/>
      <w:pgMar w:top="1191" w:right="1191" w:bottom="1191" w:left="794"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70D" w:rsidRDefault="008E470D" w:rsidP="0028688E">
      <w:pPr>
        <w:spacing w:before="0" w:after="0" w:line="240" w:lineRule="auto"/>
      </w:pPr>
      <w:r>
        <w:separator/>
      </w:r>
    </w:p>
  </w:endnote>
  <w:endnote w:type="continuationSeparator" w:id="0">
    <w:p w:rsidR="008E470D" w:rsidRDefault="008E470D" w:rsidP="002868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DIN">
    <w:altName w:val="DI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6B7" w:rsidRDefault="00E036B7" w:rsidP="00855A5B">
    <w:pPr>
      <w:pStyle w:val="MCDEMfooter"/>
      <w:tabs>
        <w:tab w:val="left" w:pos="4157"/>
      </w:tabs>
    </w:pPr>
    <w:r>
      <w:t>Ministry of Civil Defence &amp; Emergency Management</w:t>
    </w:r>
    <w:r>
      <w:tab/>
    </w:r>
    <w:r>
      <w:tab/>
      <w:t xml:space="preserve">Page </w:t>
    </w:r>
    <w:r>
      <w:fldChar w:fldCharType="begin"/>
    </w:r>
    <w:r>
      <w:instrText xml:space="preserve"> PAGE   \* MERGEFORMAT </w:instrText>
    </w:r>
    <w:r>
      <w:fldChar w:fldCharType="separate"/>
    </w:r>
    <w:r w:rsidR="00FD595B">
      <w:rPr>
        <w:noProof/>
      </w:rPr>
      <w:t>2</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FD595B">
      <w:rPr>
        <w:noProof/>
      </w:rPr>
      <w:t>8</w:t>
    </w:r>
    <w:r>
      <w:rPr>
        <w:noProof/>
      </w:rPr>
      <w:fldChar w:fldCharType="end"/>
    </w:r>
  </w:p>
  <w:p w:rsidR="00E036B7" w:rsidRDefault="00E036B7" w:rsidP="00003E8D">
    <w:pPr>
      <w:pStyle w:val="MCDEMfooter"/>
      <w:tabs>
        <w:tab w:val="left" w:pos="1544"/>
      </w:tabs>
    </w:pPr>
    <w:r>
      <w:t>29 October 2018</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70D" w:rsidRDefault="008E470D" w:rsidP="0028688E">
      <w:pPr>
        <w:spacing w:before="0" w:after="0" w:line="240" w:lineRule="auto"/>
      </w:pPr>
      <w:r>
        <w:separator/>
      </w:r>
    </w:p>
  </w:footnote>
  <w:footnote w:type="continuationSeparator" w:id="0">
    <w:p w:rsidR="008E470D" w:rsidRDefault="008E470D" w:rsidP="0028688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6B7" w:rsidRDefault="00E03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6B7" w:rsidRPr="00973D03" w:rsidRDefault="00E036B7" w:rsidP="00973D03">
    <w:pPr>
      <w:pStyle w:val="MCDEM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6B7" w:rsidRDefault="00E03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05132FB"/>
    <w:multiLevelType w:val="multilevel"/>
    <w:tmpl w:val="5E78B042"/>
    <w:lvl w:ilvl="0">
      <w:start w:val="1"/>
      <w:numFmt w:val="decimal"/>
      <w:pStyle w:val="Numbering"/>
      <w:lvlText w:val="%1."/>
      <w:lvlJc w:val="left"/>
      <w:pPr>
        <w:ind w:left="363" w:hanging="363"/>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363"/>
      </w:pPr>
      <w:rPr>
        <w:rFonts w:hint="default"/>
      </w:rPr>
    </w:lvl>
    <w:lvl w:ilvl="3">
      <w:start w:val="1"/>
      <w:numFmt w:val="decimal"/>
      <w:lvlText w:val="%4."/>
      <w:lvlJc w:val="left"/>
      <w:pPr>
        <w:ind w:left="1434" w:hanging="363"/>
      </w:pPr>
      <w:rPr>
        <w:rFonts w:hint="default"/>
      </w:rPr>
    </w:lvl>
    <w:lvl w:ilvl="4">
      <w:start w:val="1"/>
      <w:numFmt w:val="lowerLetter"/>
      <w:lvlText w:val="%5."/>
      <w:lvlJc w:val="left"/>
      <w:pPr>
        <w:ind w:left="1791" w:hanging="363"/>
      </w:pPr>
      <w:rPr>
        <w:rFonts w:hint="default"/>
      </w:rPr>
    </w:lvl>
    <w:lvl w:ilvl="5">
      <w:start w:val="1"/>
      <w:numFmt w:val="lowerRoman"/>
      <w:lvlText w:val="%6."/>
      <w:lvlJc w:val="right"/>
      <w:pPr>
        <w:ind w:left="2148" w:hanging="363"/>
      </w:pPr>
      <w:rPr>
        <w:rFonts w:hint="default"/>
      </w:rPr>
    </w:lvl>
    <w:lvl w:ilvl="6">
      <w:start w:val="1"/>
      <w:numFmt w:val="decimal"/>
      <w:lvlText w:val="%7."/>
      <w:lvlJc w:val="left"/>
      <w:pPr>
        <w:ind w:left="2505" w:hanging="363"/>
      </w:pPr>
      <w:rPr>
        <w:rFonts w:hint="default"/>
      </w:rPr>
    </w:lvl>
    <w:lvl w:ilvl="7">
      <w:start w:val="1"/>
      <w:numFmt w:val="lowerLetter"/>
      <w:lvlText w:val="%8."/>
      <w:lvlJc w:val="left"/>
      <w:pPr>
        <w:ind w:left="2862" w:hanging="363"/>
      </w:pPr>
      <w:rPr>
        <w:rFonts w:hint="default"/>
      </w:rPr>
    </w:lvl>
    <w:lvl w:ilvl="8">
      <w:start w:val="1"/>
      <w:numFmt w:val="lowerRoman"/>
      <w:lvlText w:val="%9."/>
      <w:lvlJc w:val="right"/>
      <w:pPr>
        <w:ind w:left="3219" w:hanging="363"/>
      </w:pPr>
      <w:rPr>
        <w:rFonts w:hint="default"/>
      </w:rPr>
    </w:lvl>
  </w:abstractNum>
  <w:abstractNum w:abstractNumId="2" w15:restartNumberingAfterBreak="0">
    <w:nsid w:val="191E43F9"/>
    <w:multiLevelType w:val="multilevel"/>
    <w:tmpl w:val="A79ED950"/>
    <w:styleLink w:val="MCDEMbullet"/>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3" w15:restartNumberingAfterBreak="0">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 w15:restartNumberingAfterBreak="0">
    <w:nsid w:val="2E314D67"/>
    <w:multiLevelType w:val="hybridMultilevel"/>
    <w:tmpl w:val="40E621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E7B63C8"/>
    <w:multiLevelType w:val="multilevel"/>
    <w:tmpl w:val="A79ED950"/>
    <w:numStyleLink w:val="MCDEMbullet"/>
  </w:abstractNum>
  <w:abstractNum w:abstractNumId="6" w15:restartNumberingAfterBreak="0">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72F6AA5"/>
    <w:multiLevelType w:val="multilevel"/>
    <w:tmpl w:val="BAA24A06"/>
    <w:lvl w:ilvl="0">
      <w:start w:val="1"/>
      <w:numFmt w:val="decimal"/>
      <w:pStyle w:val="Heading1"/>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pStyle w:val="Heading6"/>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pStyle w:val="Heading7"/>
      <w:suff w:val="space"/>
      <w:lvlText w:val="%6.%7"/>
      <w:lvlJc w:val="left"/>
      <w:pPr>
        <w:ind w:left="0" w:firstLine="0"/>
      </w:pPr>
      <w:rPr>
        <w:rFonts w:ascii="Arial Narrow" w:hAnsi="Arial Narrow" w:hint="default"/>
        <w:b/>
        <w:i w:val="0"/>
        <w:caps w:val="0"/>
        <w:strike w:val="0"/>
        <w:dstrike w:val="0"/>
        <w:vanish w:val="0"/>
        <w:color w:val="005A9B" w:themeColor="background2"/>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5E424A99"/>
    <w:multiLevelType w:val="hybridMultilevel"/>
    <w:tmpl w:val="438227D6"/>
    <w:lvl w:ilvl="0" w:tplc="C7D263CC">
      <w:start w:val="1"/>
      <w:numFmt w:val="bullet"/>
      <w:pStyle w:val="Redtext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5"/>
  </w:num>
  <w:num w:numId="6">
    <w:abstractNumId w:val="1"/>
  </w:num>
  <w:num w:numId="7">
    <w:abstractNumId w:val="8"/>
  </w:num>
  <w:num w:numId="8">
    <w:abstractNumId w:val="7"/>
  </w:num>
  <w:num w:numId="9">
    <w:abstractNumId w:val="3"/>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BC"/>
    <w:rsid w:val="00003E8D"/>
    <w:rsid w:val="00015CF4"/>
    <w:rsid w:val="00033DD1"/>
    <w:rsid w:val="000765B8"/>
    <w:rsid w:val="000949EF"/>
    <w:rsid w:val="000A5072"/>
    <w:rsid w:val="00101BE4"/>
    <w:rsid w:val="001026B1"/>
    <w:rsid w:val="00110547"/>
    <w:rsid w:val="00120715"/>
    <w:rsid w:val="001431C8"/>
    <w:rsid w:val="00152C3B"/>
    <w:rsid w:val="0016781A"/>
    <w:rsid w:val="001742A7"/>
    <w:rsid w:val="00175619"/>
    <w:rsid w:val="001B0B66"/>
    <w:rsid w:val="001B1C30"/>
    <w:rsid w:val="001C0312"/>
    <w:rsid w:val="001C7911"/>
    <w:rsid w:val="001F1165"/>
    <w:rsid w:val="001F18E5"/>
    <w:rsid w:val="002140CF"/>
    <w:rsid w:val="0023455A"/>
    <w:rsid w:val="00237D21"/>
    <w:rsid w:val="00240A3D"/>
    <w:rsid w:val="00241330"/>
    <w:rsid w:val="00242830"/>
    <w:rsid w:val="002730A0"/>
    <w:rsid w:val="0028688E"/>
    <w:rsid w:val="002A2906"/>
    <w:rsid w:val="002A45AE"/>
    <w:rsid w:val="002F336E"/>
    <w:rsid w:val="002F7D69"/>
    <w:rsid w:val="003416BB"/>
    <w:rsid w:val="00343AA6"/>
    <w:rsid w:val="00371234"/>
    <w:rsid w:val="00381326"/>
    <w:rsid w:val="003855E7"/>
    <w:rsid w:val="003874DD"/>
    <w:rsid w:val="003A54AB"/>
    <w:rsid w:val="003F1D18"/>
    <w:rsid w:val="00434801"/>
    <w:rsid w:val="004417CC"/>
    <w:rsid w:val="004516AC"/>
    <w:rsid w:val="00455F7A"/>
    <w:rsid w:val="00464B42"/>
    <w:rsid w:val="004919C4"/>
    <w:rsid w:val="004A5E56"/>
    <w:rsid w:val="004C4DA5"/>
    <w:rsid w:val="004E6A68"/>
    <w:rsid w:val="00525EFF"/>
    <w:rsid w:val="00531C82"/>
    <w:rsid w:val="0054087E"/>
    <w:rsid w:val="005807C6"/>
    <w:rsid w:val="0058500E"/>
    <w:rsid w:val="005B6A6C"/>
    <w:rsid w:val="005B6E14"/>
    <w:rsid w:val="005F3117"/>
    <w:rsid w:val="005F3806"/>
    <w:rsid w:val="006101A7"/>
    <w:rsid w:val="00643E3C"/>
    <w:rsid w:val="00660CED"/>
    <w:rsid w:val="00683672"/>
    <w:rsid w:val="006858A9"/>
    <w:rsid w:val="00694EA2"/>
    <w:rsid w:val="006958B1"/>
    <w:rsid w:val="006B55B9"/>
    <w:rsid w:val="006D6B32"/>
    <w:rsid w:val="007062A7"/>
    <w:rsid w:val="00707CF7"/>
    <w:rsid w:val="00710215"/>
    <w:rsid w:val="00712F15"/>
    <w:rsid w:val="00723308"/>
    <w:rsid w:val="007236DE"/>
    <w:rsid w:val="0076141F"/>
    <w:rsid w:val="00771F8C"/>
    <w:rsid w:val="007939AF"/>
    <w:rsid w:val="007A5B91"/>
    <w:rsid w:val="007B6285"/>
    <w:rsid w:val="007D56BC"/>
    <w:rsid w:val="007E3342"/>
    <w:rsid w:val="007E513C"/>
    <w:rsid w:val="007F64CA"/>
    <w:rsid w:val="00807E58"/>
    <w:rsid w:val="00810C57"/>
    <w:rsid w:val="00831AF0"/>
    <w:rsid w:val="00836966"/>
    <w:rsid w:val="008456EB"/>
    <w:rsid w:val="00852EF2"/>
    <w:rsid w:val="00855A5B"/>
    <w:rsid w:val="008622E5"/>
    <w:rsid w:val="00863EC7"/>
    <w:rsid w:val="008720AA"/>
    <w:rsid w:val="00877AD3"/>
    <w:rsid w:val="008811D2"/>
    <w:rsid w:val="0089602C"/>
    <w:rsid w:val="008963D8"/>
    <w:rsid w:val="008D4F54"/>
    <w:rsid w:val="008E1EE5"/>
    <w:rsid w:val="008E470D"/>
    <w:rsid w:val="008F1EAE"/>
    <w:rsid w:val="00900388"/>
    <w:rsid w:val="009020A7"/>
    <w:rsid w:val="009137DA"/>
    <w:rsid w:val="00914A90"/>
    <w:rsid w:val="009210E7"/>
    <w:rsid w:val="00930533"/>
    <w:rsid w:val="00930935"/>
    <w:rsid w:val="00955A0A"/>
    <w:rsid w:val="00960CFB"/>
    <w:rsid w:val="009623D3"/>
    <w:rsid w:val="009643F2"/>
    <w:rsid w:val="0096700C"/>
    <w:rsid w:val="00973D03"/>
    <w:rsid w:val="00976D92"/>
    <w:rsid w:val="00984F96"/>
    <w:rsid w:val="009856C6"/>
    <w:rsid w:val="00985F01"/>
    <w:rsid w:val="009953EC"/>
    <w:rsid w:val="009A178E"/>
    <w:rsid w:val="009C7EA7"/>
    <w:rsid w:val="009D1A8C"/>
    <w:rsid w:val="009E4551"/>
    <w:rsid w:val="009E4FCA"/>
    <w:rsid w:val="009E7053"/>
    <w:rsid w:val="009F4FE6"/>
    <w:rsid w:val="009F656B"/>
    <w:rsid w:val="009F67D1"/>
    <w:rsid w:val="00A0032D"/>
    <w:rsid w:val="00A110FD"/>
    <w:rsid w:val="00A11FE0"/>
    <w:rsid w:val="00A17D44"/>
    <w:rsid w:val="00A373CC"/>
    <w:rsid w:val="00A4696B"/>
    <w:rsid w:val="00A5295E"/>
    <w:rsid w:val="00A70084"/>
    <w:rsid w:val="00A904E8"/>
    <w:rsid w:val="00AA70A6"/>
    <w:rsid w:val="00AE7313"/>
    <w:rsid w:val="00AF3392"/>
    <w:rsid w:val="00B305A9"/>
    <w:rsid w:val="00B33925"/>
    <w:rsid w:val="00B35A2F"/>
    <w:rsid w:val="00B45433"/>
    <w:rsid w:val="00B50B2F"/>
    <w:rsid w:val="00B527C0"/>
    <w:rsid w:val="00B837D0"/>
    <w:rsid w:val="00B9609E"/>
    <w:rsid w:val="00BB5F2D"/>
    <w:rsid w:val="00BD5F08"/>
    <w:rsid w:val="00BE0283"/>
    <w:rsid w:val="00BE7259"/>
    <w:rsid w:val="00BF241E"/>
    <w:rsid w:val="00BF3742"/>
    <w:rsid w:val="00BF5989"/>
    <w:rsid w:val="00C00F9B"/>
    <w:rsid w:val="00C12DF1"/>
    <w:rsid w:val="00C57E74"/>
    <w:rsid w:val="00C65499"/>
    <w:rsid w:val="00C674A2"/>
    <w:rsid w:val="00C759B1"/>
    <w:rsid w:val="00C91AAE"/>
    <w:rsid w:val="00C973B8"/>
    <w:rsid w:val="00CA46A6"/>
    <w:rsid w:val="00CC723A"/>
    <w:rsid w:val="00CD03F7"/>
    <w:rsid w:val="00CD705C"/>
    <w:rsid w:val="00CE751C"/>
    <w:rsid w:val="00CF6327"/>
    <w:rsid w:val="00D00FDB"/>
    <w:rsid w:val="00D145D7"/>
    <w:rsid w:val="00D170EE"/>
    <w:rsid w:val="00D20B00"/>
    <w:rsid w:val="00D35CFA"/>
    <w:rsid w:val="00D456DF"/>
    <w:rsid w:val="00D70392"/>
    <w:rsid w:val="00D8179F"/>
    <w:rsid w:val="00D92A3D"/>
    <w:rsid w:val="00DA4350"/>
    <w:rsid w:val="00DC1564"/>
    <w:rsid w:val="00DD337C"/>
    <w:rsid w:val="00DF5DBB"/>
    <w:rsid w:val="00E00774"/>
    <w:rsid w:val="00E036B7"/>
    <w:rsid w:val="00E04917"/>
    <w:rsid w:val="00E11687"/>
    <w:rsid w:val="00E93852"/>
    <w:rsid w:val="00EC1A3F"/>
    <w:rsid w:val="00EC1F61"/>
    <w:rsid w:val="00ED03B0"/>
    <w:rsid w:val="00ED5B91"/>
    <w:rsid w:val="00EF48A4"/>
    <w:rsid w:val="00F42BEB"/>
    <w:rsid w:val="00F50446"/>
    <w:rsid w:val="00F67E77"/>
    <w:rsid w:val="00F7158B"/>
    <w:rsid w:val="00F72F20"/>
    <w:rsid w:val="00F807BF"/>
    <w:rsid w:val="00FA281D"/>
    <w:rsid w:val="00FB661F"/>
    <w:rsid w:val="00FC0D1D"/>
    <w:rsid w:val="00FC1189"/>
    <w:rsid w:val="00FD0B75"/>
    <w:rsid w:val="00FD595B"/>
    <w:rsid w:val="00FD77A3"/>
    <w:rsid w:val="00FE0825"/>
    <w:rsid w:val="00FE39C1"/>
    <w:rsid w:val="00FE4E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85AE98A-D566-4FC4-AD2F-8B152468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uiPriority="39"/>
    <w:lsdException w:name="toc 5" w:uiPriority="39"/>
    <w:lsdException w:name="toc 6" w:uiPriority="39"/>
    <w:lsdException w:name="toc 7" w:uiPriority="0"/>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6BB"/>
    <w:pPr>
      <w:spacing w:before="120" w:after="120" w:line="276" w:lineRule="auto"/>
    </w:pPr>
    <w:rPr>
      <w:rFonts w:ascii="Arial" w:hAnsi="Arial"/>
      <w:sz w:val="22"/>
      <w:szCs w:val="22"/>
    </w:rPr>
  </w:style>
  <w:style w:type="paragraph" w:styleId="Heading1">
    <w:name w:val="heading 1"/>
    <w:basedOn w:val="Normal"/>
    <w:next w:val="Normal"/>
    <w:link w:val="Heading1Char"/>
    <w:qFormat/>
    <w:rsid w:val="007E3342"/>
    <w:pPr>
      <w:keepNext/>
      <w:keepLines/>
      <w:pageBreakBefore/>
      <w:numPr>
        <w:numId w:val="8"/>
      </w:numPr>
      <w:pBdr>
        <w:bottom w:val="single" w:sz="12" w:space="1" w:color="AFAFAF" w:themeColor="accent1"/>
      </w:pBdr>
      <w:spacing w:before="24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7E3342"/>
    <w:pPr>
      <w:numPr>
        <w:ilvl w:val="1"/>
        <w:numId w:val="8"/>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7E3342"/>
    <w:pPr>
      <w:keepNext/>
      <w:keepLines/>
      <w:numPr>
        <w:ilvl w:val="2"/>
        <w:numId w:val="8"/>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7E3342"/>
    <w:pPr>
      <w:keepNext/>
      <w:keepLines/>
      <w:numPr>
        <w:ilvl w:val="3"/>
        <w:numId w:val="8"/>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numPr>
        <w:ilvl w:val="5"/>
        <w:numId w:val="8"/>
      </w:numPr>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712F15"/>
    <w:pPr>
      <w:numPr>
        <w:ilvl w:val="6"/>
        <w:numId w:val="8"/>
      </w:numPr>
      <w:pBdr>
        <w:bottom w:val="single" w:sz="6" w:space="1" w:color="AFAFAF" w:themeColor="accent1"/>
      </w:pBdr>
      <w:spacing w:before="200" w:after="40" w:line="240" w:lineRule="auto"/>
      <w:outlineLvl w:val="6"/>
    </w:pPr>
    <w:rPr>
      <w:rFonts w:ascii="Arial Narrow" w:hAnsi="Arial Narrow" w:cstheme="majorBidi"/>
      <w:b/>
      <w:color w:val="005A9B" w:themeColor="background2"/>
      <w:sz w:val="32"/>
    </w:rPr>
  </w:style>
  <w:style w:type="paragraph" w:styleId="Heading8">
    <w:name w:val="heading 8"/>
    <w:basedOn w:val="Normal"/>
    <w:next w:val="Normal"/>
    <w:link w:val="Heading8Char"/>
    <w:uiPriority w:val="9"/>
    <w:qFormat/>
    <w:rsid w:val="00EC1A3F"/>
    <w:pPr>
      <w:pBdr>
        <w:bottom w:val="single" w:sz="6" w:space="1" w:color="AFAFAF" w:themeColor="accent1"/>
      </w:pBdr>
      <w:spacing w:before="200" w:after="40" w:line="240" w:lineRule="auto"/>
      <w:outlineLvl w:val="7"/>
    </w:pPr>
    <w:rPr>
      <w:rFonts w:ascii="Arial Narrow" w:eastAsiaTheme="majorEastAsia" w:hAnsi="Arial Narrow" w:cstheme="majorBidi"/>
      <w:b/>
      <w:bCs/>
      <w:color w:val="005A9B" w:themeColor="background2"/>
      <w:sz w:val="28"/>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455F7A"/>
    <w:pPr>
      <w:numPr>
        <w:numId w:val="5"/>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2"/>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A4696B"/>
    <w:pPr>
      <w:pageBreakBefore/>
      <w:pBdr>
        <w:bottom w:val="single" w:sz="8" w:space="0" w:color="AFAFAF" w:themeColor="accent1"/>
      </w:pBdr>
      <w:spacing w:before="200" w:after="40"/>
      <w:contextualSpacing w:val="0"/>
    </w:pPr>
    <w:rPr>
      <w:rFonts w:ascii="Arial Narrow" w:hAnsi="Arial Narrow"/>
      <w:sz w:val="40"/>
    </w:rPr>
  </w:style>
  <w:style w:type="paragraph" w:styleId="Title">
    <w:name w:val="Title"/>
    <w:basedOn w:val="Normal"/>
    <w:next w:val="Normal"/>
    <w:link w:val="TitleChar"/>
    <w:qFormat/>
    <w:rsid w:val="00A4696B"/>
    <w:pPr>
      <w:spacing w:before="0" w:after="300" w:line="240" w:lineRule="auto"/>
      <w:contextualSpacing/>
    </w:pPr>
    <w:rPr>
      <w:rFonts w:eastAsiaTheme="majorEastAsia" w:cstheme="majorBidi"/>
      <w:b/>
      <w:color w:val="005A9B" w:themeColor="background2"/>
      <w:spacing w:val="5"/>
      <w:kern w:val="28"/>
      <w:sz w:val="52"/>
      <w:szCs w:val="52"/>
    </w:rPr>
  </w:style>
  <w:style w:type="character" w:customStyle="1" w:styleId="TitleChar">
    <w:name w:val="Title Char"/>
    <w:basedOn w:val="DefaultParagraphFont"/>
    <w:link w:val="Title"/>
    <w:rsid w:val="00A4696B"/>
    <w:rPr>
      <w:rFonts w:ascii="Arial" w:eastAsiaTheme="majorEastAsia" w:hAnsi="Arial" w:cstheme="majorBidi"/>
      <w:b/>
      <w:color w:val="005A9B" w:themeColor="background2"/>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455F7A"/>
    <w:pPr>
      <w:numPr>
        <w:numId w:val="6"/>
      </w:numPr>
      <w:spacing w:line="288" w:lineRule="auto"/>
    </w:pPr>
  </w:style>
  <w:style w:type="paragraph" w:customStyle="1" w:styleId="Legalsection">
    <w:name w:val="Legal section"/>
    <w:basedOn w:val="Normal"/>
    <w:next w:val="Normal"/>
    <w:qFormat/>
    <w:rsid w:val="00ED03B0"/>
    <w:pPr>
      <w:numPr>
        <w:numId w:val="3"/>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A4696B"/>
    <w:rPr>
      <w:sz w:val="32"/>
    </w:rPr>
  </w:style>
  <w:style w:type="paragraph" w:customStyle="1" w:styleId="Legalnumbering">
    <w:name w:val="Legal numbering"/>
    <w:basedOn w:val="Normal"/>
    <w:qFormat/>
    <w:rsid w:val="00694EA2"/>
    <w:pPr>
      <w:numPr>
        <w:numId w:val="4"/>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7E334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712F15"/>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spacing w:after="0"/>
      <w:outlineLvl w:val="9"/>
    </w:pPr>
    <w:rPr>
      <w:rFonts w:ascii="Cambria" w:hAnsi="Cambria"/>
      <w:color w:val="5F5F5F"/>
      <w:sz w:val="28"/>
    </w:rPr>
  </w:style>
  <w:style w:type="character" w:styleId="Hyperlink">
    <w:name w:val="Hyperlink"/>
    <w:basedOn w:val="DefaultParagraphFont"/>
    <w:uiPriority w:val="99"/>
    <w:rsid w:val="00694EA2"/>
    <w:rPr>
      <w:color w:val="0000FF" w:themeColor="hyperlink"/>
      <w:u w:val="single"/>
    </w:rPr>
  </w:style>
  <w:style w:type="paragraph" w:styleId="TOC2">
    <w:name w:val="toc 2"/>
    <w:basedOn w:val="Normal"/>
    <w:next w:val="Normal"/>
    <w:autoRedefine/>
    <w:uiPriority w:val="39"/>
    <w:rsid w:val="00C674A2"/>
    <w:pPr>
      <w:tabs>
        <w:tab w:val="left" w:pos="993"/>
        <w:tab w:val="right" w:leader="dot" w:pos="9498"/>
      </w:tabs>
      <w:spacing w:before="0" w:after="0"/>
      <w:ind w:left="221" w:firstLine="204"/>
    </w:pPr>
    <w:rPr>
      <w:noProof/>
    </w:r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1C0312"/>
    <w:pPr>
      <w:pBdr>
        <w:top w:val="single" w:sz="6" w:space="1" w:color="AFAFAF" w:themeColor="accent1"/>
      </w:pBdr>
      <w:tabs>
        <w:tab w:val="right" w:pos="9497"/>
      </w:tabs>
      <w:spacing w:before="0" w:after="0" w:line="240" w:lineRule="auto"/>
      <w:contextualSpacing/>
    </w:pPr>
    <w:rPr>
      <w:rFonts w:eastAsia="Times New Roman"/>
      <w:color w:val="838383" w:themeColor="accent1" w:themeShade="BF"/>
      <w:sz w:val="16"/>
      <w:szCs w:val="18"/>
      <w:lang w:eastAsia="en-NZ"/>
    </w:rPr>
  </w:style>
  <w:style w:type="numbering" w:customStyle="1" w:styleId="MCDEMbullet">
    <w:name w:val="MCDEM bullet"/>
    <w:uiPriority w:val="99"/>
    <w:rsid w:val="00694EA2"/>
    <w:pPr>
      <w:numPr>
        <w:numId w:val="1"/>
      </w:numPr>
    </w:pPr>
  </w:style>
  <w:style w:type="table" w:styleId="TableGrid">
    <w:name w:val="Table Grid"/>
    <w:basedOn w:val="TableNormal"/>
    <w:uiPriority w:val="59"/>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qFormat/>
    <w:rsid w:val="00973D03"/>
    <w:pPr>
      <w:ind w:left="720"/>
      <w:contextualSpacing/>
    </w:pPr>
  </w:style>
  <w:style w:type="paragraph" w:customStyle="1" w:styleId="Greytext">
    <w:name w:val="Greytext"/>
    <w:basedOn w:val="Tablenormal0"/>
    <w:next w:val="Normal"/>
    <w:link w:val="GreytextChar"/>
    <w:qFormat/>
    <w:rsid w:val="00455F7A"/>
    <w:rPr>
      <w:i/>
      <w:color w:val="838383" w:themeColor="accent1" w:themeShade="BF"/>
      <w:lang w:eastAsia="en-NZ"/>
    </w:rPr>
  </w:style>
  <w:style w:type="character" w:customStyle="1" w:styleId="GreytextChar">
    <w:name w:val="Greytext Char"/>
    <w:basedOn w:val="TablenormalChar"/>
    <w:link w:val="Greytext"/>
    <w:rsid w:val="00455F7A"/>
    <w:rPr>
      <w:rFonts w:ascii="Arial" w:hAnsi="Arial"/>
      <w:i/>
      <w:color w:val="838383" w:themeColor="accent1" w:themeShade="BF"/>
      <w:sz w:val="22"/>
      <w:szCs w:val="22"/>
      <w:lang w:eastAsia="en-NZ"/>
    </w:rPr>
  </w:style>
  <w:style w:type="paragraph" w:customStyle="1" w:styleId="Redtextbullets">
    <w:name w:val="Redtext bullets"/>
    <w:basedOn w:val="Normal"/>
    <w:rsid w:val="00EC1A3F"/>
    <w:pPr>
      <w:numPr>
        <w:numId w:val="7"/>
      </w:numPr>
      <w:spacing w:before="20" w:after="20" w:line="240" w:lineRule="auto"/>
    </w:pPr>
    <w:rPr>
      <w:color w:val="9B2703" w:themeColor="accent2"/>
    </w:rPr>
  </w:style>
  <w:style w:type="character" w:customStyle="1" w:styleId="Heading8Char">
    <w:name w:val="Heading 8 Char"/>
    <w:basedOn w:val="DefaultParagraphFont"/>
    <w:link w:val="Heading8"/>
    <w:uiPriority w:val="9"/>
    <w:rsid w:val="00EC1A3F"/>
    <w:rPr>
      <w:rFonts w:ascii="Arial Narrow" w:eastAsiaTheme="majorEastAsia" w:hAnsi="Arial Narrow" w:cstheme="majorBidi"/>
      <w:b/>
      <w:bCs/>
      <w:color w:val="005A9B" w:themeColor="background2"/>
      <w:sz w:val="28"/>
    </w:rPr>
  </w:style>
  <w:style w:type="paragraph" w:customStyle="1" w:styleId="TableText">
    <w:name w:val="Table Text"/>
    <w:basedOn w:val="Normal"/>
    <w:rsid w:val="009F4FE6"/>
    <w:pPr>
      <w:spacing w:line="240" w:lineRule="auto"/>
    </w:pPr>
    <w:rPr>
      <w:rFonts w:eastAsia="Times New Roman"/>
      <w:color w:val="000000"/>
      <w:szCs w:val="20"/>
      <w:lang w:val="en-US"/>
    </w:rPr>
  </w:style>
  <w:style w:type="paragraph" w:customStyle="1" w:styleId="Heading1NoNumbering">
    <w:name w:val="Heading 1 No Numbering"/>
    <w:basedOn w:val="Heading1"/>
    <w:next w:val="Normal"/>
    <w:qFormat/>
    <w:rsid w:val="00C759B1"/>
    <w:pPr>
      <w:pageBreakBefore w:val="0"/>
      <w:numPr>
        <w:numId w:val="0"/>
      </w:numPr>
    </w:pPr>
  </w:style>
  <w:style w:type="paragraph" w:customStyle="1" w:styleId="Heading2NoNumbering">
    <w:name w:val="Heading 2 No Numbering"/>
    <w:basedOn w:val="Heading2"/>
    <w:next w:val="Normal"/>
    <w:qFormat/>
    <w:rsid w:val="00C759B1"/>
    <w:pPr>
      <w:numPr>
        <w:ilvl w:val="0"/>
        <w:numId w:val="0"/>
      </w:numPr>
    </w:pPr>
  </w:style>
  <w:style w:type="paragraph" w:customStyle="1" w:styleId="Heading3NoNumbering">
    <w:name w:val="Heading 3 No Numbering"/>
    <w:basedOn w:val="Heading3"/>
    <w:next w:val="Normal"/>
    <w:qFormat/>
    <w:rsid w:val="00C759B1"/>
    <w:pPr>
      <w:numPr>
        <w:ilvl w:val="0"/>
        <w:numId w:val="0"/>
      </w:numPr>
    </w:pPr>
  </w:style>
  <w:style w:type="paragraph" w:customStyle="1" w:styleId="Default">
    <w:name w:val="Default"/>
    <w:rsid w:val="00B527C0"/>
    <w:pPr>
      <w:autoSpaceDE w:val="0"/>
      <w:autoSpaceDN w:val="0"/>
      <w:adjustRightInd w:val="0"/>
    </w:pPr>
    <w:rPr>
      <w:rFonts w:ascii="Arial Narrow" w:hAnsi="Arial Narrow" w:cs="Arial Narrow"/>
      <w:color w:val="000000"/>
      <w:sz w:val="24"/>
      <w:szCs w:val="24"/>
    </w:rPr>
  </w:style>
  <w:style w:type="character" w:styleId="FollowedHyperlink">
    <w:name w:val="FollowedHyperlink"/>
    <w:basedOn w:val="DefaultParagraphFont"/>
    <w:uiPriority w:val="99"/>
    <w:semiHidden/>
    <w:unhideWhenUsed/>
    <w:rsid w:val="009623D3"/>
    <w:rPr>
      <w:color w:val="800080" w:themeColor="followedHyperlink"/>
      <w:u w:val="single"/>
    </w:rPr>
  </w:style>
  <w:style w:type="paragraph" w:customStyle="1" w:styleId="Pa0">
    <w:name w:val="Pa0"/>
    <w:basedOn w:val="Default"/>
    <w:next w:val="Default"/>
    <w:uiPriority w:val="99"/>
    <w:rsid w:val="009E4551"/>
    <w:pPr>
      <w:spacing w:line="181" w:lineRule="atLeast"/>
    </w:pPr>
    <w:rPr>
      <w:rFonts w:ascii="Trade Gothic LT Std" w:hAnsi="Trade Gothic LT Std" w:cs="Times New Roman"/>
      <w:color w:val="auto"/>
    </w:rPr>
  </w:style>
  <w:style w:type="paragraph" w:customStyle="1" w:styleId="Pa6">
    <w:name w:val="Pa6"/>
    <w:basedOn w:val="Default"/>
    <w:next w:val="Default"/>
    <w:uiPriority w:val="99"/>
    <w:rsid w:val="00BF241E"/>
    <w:pPr>
      <w:spacing w:line="181" w:lineRule="atLeast"/>
    </w:pPr>
    <w:rPr>
      <w:rFonts w:ascii="DIN" w:hAnsi="DIN" w:cs="Times New Roman"/>
      <w:color w:val="auto"/>
    </w:rPr>
  </w:style>
  <w:style w:type="paragraph" w:styleId="CommentText">
    <w:name w:val="annotation text"/>
    <w:basedOn w:val="Normal"/>
    <w:link w:val="CommentTextChar"/>
    <w:uiPriority w:val="99"/>
    <w:semiHidden/>
    <w:unhideWhenUsed/>
    <w:rsid w:val="00F72F20"/>
    <w:pPr>
      <w:spacing w:line="240" w:lineRule="auto"/>
    </w:pPr>
    <w:rPr>
      <w:sz w:val="20"/>
      <w:szCs w:val="20"/>
    </w:rPr>
  </w:style>
  <w:style w:type="character" w:customStyle="1" w:styleId="CommentTextChar">
    <w:name w:val="Comment Text Char"/>
    <w:basedOn w:val="DefaultParagraphFont"/>
    <w:link w:val="CommentText"/>
    <w:uiPriority w:val="99"/>
    <w:semiHidden/>
    <w:rsid w:val="00F72F20"/>
    <w:rPr>
      <w:rFonts w:ascii="Arial" w:hAnsi="Arial"/>
    </w:rPr>
  </w:style>
  <w:style w:type="character" w:styleId="CommentReference">
    <w:name w:val="annotation reference"/>
    <w:basedOn w:val="DefaultParagraphFont"/>
    <w:uiPriority w:val="99"/>
    <w:semiHidden/>
    <w:unhideWhenUsed/>
    <w:rsid w:val="00F72F20"/>
    <w:rPr>
      <w:sz w:val="16"/>
      <w:szCs w:val="16"/>
    </w:rPr>
  </w:style>
  <w:style w:type="paragraph" w:styleId="BalloonText">
    <w:name w:val="Balloon Text"/>
    <w:basedOn w:val="Normal"/>
    <w:link w:val="BalloonTextChar"/>
    <w:uiPriority w:val="99"/>
    <w:semiHidden/>
    <w:unhideWhenUsed/>
    <w:rsid w:val="00F72F2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F20"/>
    <w:rPr>
      <w:rFonts w:ascii="Segoe UI" w:hAnsi="Segoe UI" w:cs="Segoe UI"/>
      <w:sz w:val="18"/>
      <w:szCs w:val="18"/>
    </w:rPr>
  </w:style>
  <w:style w:type="paragraph" w:styleId="NormalWeb">
    <w:name w:val="Normal (Web)"/>
    <w:basedOn w:val="Normal"/>
    <w:uiPriority w:val="99"/>
    <w:semiHidden/>
    <w:unhideWhenUsed/>
    <w:rsid w:val="001B1C30"/>
    <w:pPr>
      <w:spacing w:before="240" w:after="240" w:line="240" w:lineRule="auto"/>
    </w:pPr>
    <w:rPr>
      <w:rFonts w:ascii="Times New Roman" w:eastAsia="Times New Roman" w:hAnsi="Times New Roman"/>
      <w:sz w:val="24"/>
      <w:szCs w:val="24"/>
      <w:lang w:eastAsia="en-NZ"/>
    </w:rPr>
  </w:style>
  <w:style w:type="character" w:customStyle="1" w:styleId="doc-form-label1">
    <w:name w:val="doc-form-label1"/>
    <w:basedOn w:val="DefaultParagraphFont"/>
    <w:rsid w:val="007F64CA"/>
    <w:rPr>
      <w:b/>
      <w:bCs/>
    </w:rPr>
  </w:style>
  <w:style w:type="character" w:customStyle="1" w:styleId="value">
    <w:name w:val="value"/>
    <w:basedOn w:val="DefaultParagraphFont"/>
    <w:rsid w:val="007F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65428">
      <w:bodyDiv w:val="1"/>
      <w:marLeft w:val="0"/>
      <w:marRight w:val="0"/>
      <w:marTop w:val="0"/>
      <w:marBottom w:val="0"/>
      <w:divBdr>
        <w:top w:val="none" w:sz="0" w:space="0" w:color="auto"/>
        <w:left w:val="none" w:sz="0" w:space="0" w:color="auto"/>
        <w:bottom w:val="none" w:sz="0" w:space="0" w:color="auto"/>
        <w:right w:val="none" w:sz="0" w:space="0" w:color="auto"/>
      </w:divBdr>
      <w:divsChild>
        <w:div w:id="759644288">
          <w:marLeft w:val="0"/>
          <w:marRight w:val="0"/>
          <w:marTop w:val="0"/>
          <w:marBottom w:val="0"/>
          <w:divBdr>
            <w:top w:val="none" w:sz="0" w:space="0" w:color="auto"/>
            <w:left w:val="none" w:sz="0" w:space="0" w:color="auto"/>
            <w:bottom w:val="none" w:sz="0" w:space="0" w:color="auto"/>
            <w:right w:val="none" w:sz="0" w:space="0" w:color="auto"/>
          </w:divBdr>
          <w:divsChild>
            <w:div w:id="2079551804">
              <w:marLeft w:val="0"/>
              <w:marRight w:val="0"/>
              <w:marTop w:val="0"/>
              <w:marBottom w:val="0"/>
              <w:divBdr>
                <w:top w:val="none" w:sz="0" w:space="0" w:color="auto"/>
                <w:left w:val="none" w:sz="0" w:space="0" w:color="auto"/>
                <w:bottom w:val="none" w:sz="0" w:space="0" w:color="auto"/>
                <w:right w:val="none" w:sz="0" w:space="0" w:color="auto"/>
              </w:divBdr>
              <w:divsChild>
                <w:div w:id="1643148102">
                  <w:marLeft w:val="0"/>
                  <w:marRight w:val="0"/>
                  <w:marTop w:val="0"/>
                  <w:marBottom w:val="0"/>
                  <w:divBdr>
                    <w:top w:val="none" w:sz="0" w:space="0" w:color="auto"/>
                    <w:left w:val="none" w:sz="0" w:space="0" w:color="auto"/>
                    <w:bottom w:val="none" w:sz="0" w:space="0" w:color="auto"/>
                    <w:right w:val="none" w:sz="0" w:space="0" w:color="auto"/>
                  </w:divBdr>
                  <w:divsChild>
                    <w:div w:id="20978596">
                      <w:marLeft w:val="0"/>
                      <w:marRight w:val="0"/>
                      <w:marTop w:val="0"/>
                      <w:marBottom w:val="0"/>
                      <w:divBdr>
                        <w:top w:val="none" w:sz="0" w:space="0" w:color="auto"/>
                        <w:left w:val="none" w:sz="0" w:space="0" w:color="auto"/>
                        <w:bottom w:val="none" w:sz="0" w:space="0" w:color="auto"/>
                        <w:right w:val="none" w:sz="0" w:space="0" w:color="auto"/>
                      </w:divBdr>
                      <w:divsChild>
                        <w:div w:id="270630360">
                          <w:marLeft w:val="0"/>
                          <w:marRight w:val="0"/>
                          <w:marTop w:val="0"/>
                          <w:marBottom w:val="0"/>
                          <w:divBdr>
                            <w:top w:val="none" w:sz="0" w:space="0" w:color="auto"/>
                            <w:left w:val="none" w:sz="0" w:space="0" w:color="auto"/>
                            <w:bottom w:val="none" w:sz="0" w:space="0" w:color="auto"/>
                            <w:right w:val="none" w:sz="0" w:space="0" w:color="auto"/>
                          </w:divBdr>
                          <w:divsChild>
                            <w:div w:id="15503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08505">
      <w:bodyDiv w:val="1"/>
      <w:marLeft w:val="0"/>
      <w:marRight w:val="0"/>
      <w:marTop w:val="0"/>
      <w:marBottom w:val="0"/>
      <w:divBdr>
        <w:top w:val="none" w:sz="0" w:space="0" w:color="auto"/>
        <w:left w:val="none" w:sz="0" w:space="0" w:color="auto"/>
        <w:bottom w:val="none" w:sz="0" w:space="0" w:color="auto"/>
        <w:right w:val="none" w:sz="0" w:space="0" w:color="auto"/>
      </w:divBdr>
    </w:div>
    <w:div w:id="184635997">
      <w:bodyDiv w:val="1"/>
      <w:marLeft w:val="0"/>
      <w:marRight w:val="0"/>
      <w:marTop w:val="0"/>
      <w:marBottom w:val="0"/>
      <w:divBdr>
        <w:top w:val="none" w:sz="0" w:space="0" w:color="auto"/>
        <w:left w:val="none" w:sz="0" w:space="0" w:color="auto"/>
        <w:bottom w:val="none" w:sz="0" w:space="0" w:color="auto"/>
        <w:right w:val="none" w:sz="0" w:space="0" w:color="auto"/>
      </w:divBdr>
    </w:div>
    <w:div w:id="412438563">
      <w:bodyDiv w:val="1"/>
      <w:marLeft w:val="0"/>
      <w:marRight w:val="0"/>
      <w:marTop w:val="0"/>
      <w:marBottom w:val="0"/>
      <w:divBdr>
        <w:top w:val="none" w:sz="0" w:space="0" w:color="auto"/>
        <w:left w:val="none" w:sz="0" w:space="0" w:color="auto"/>
        <w:bottom w:val="none" w:sz="0" w:space="0" w:color="auto"/>
        <w:right w:val="none" w:sz="0" w:space="0" w:color="auto"/>
      </w:divBdr>
      <w:divsChild>
        <w:div w:id="247547786">
          <w:marLeft w:val="0"/>
          <w:marRight w:val="0"/>
          <w:marTop w:val="0"/>
          <w:marBottom w:val="0"/>
          <w:divBdr>
            <w:top w:val="none" w:sz="0" w:space="0" w:color="auto"/>
            <w:left w:val="none" w:sz="0" w:space="0" w:color="auto"/>
            <w:bottom w:val="none" w:sz="0" w:space="0" w:color="auto"/>
            <w:right w:val="none" w:sz="0" w:space="0" w:color="auto"/>
          </w:divBdr>
          <w:divsChild>
            <w:div w:id="837890479">
              <w:marLeft w:val="0"/>
              <w:marRight w:val="0"/>
              <w:marTop w:val="0"/>
              <w:marBottom w:val="0"/>
              <w:divBdr>
                <w:top w:val="none" w:sz="0" w:space="0" w:color="auto"/>
                <w:left w:val="none" w:sz="0" w:space="0" w:color="auto"/>
                <w:bottom w:val="none" w:sz="0" w:space="0" w:color="auto"/>
                <w:right w:val="none" w:sz="0" w:space="0" w:color="auto"/>
              </w:divBdr>
              <w:divsChild>
                <w:div w:id="78262293">
                  <w:marLeft w:val="0"/>
                  <w:marRight w:val="0"/>
                  <w:marTop w:val="0"/>
                  <w:marBottom w:val="0"/>
                  <w:divBdr>
                    <w:top w:val="none" w:sz="0" w:space="0" w:color="auto"/>
                    <w:left w:val="none" w:sz="0" w:space="0" w:color="auto"/>
                    <w:bottom w:val="none" w:sz="0" w:space="0" w:color="auto"/>
                    <w:right w:val="none" w:sz="0" w:space="0" w:color="auto"/>
                  </w:divBdr>
                  <w:divsChild>
                    <w:div w:id="296303357">
                      <w:marLeft w:val="0"/>
                      <w:marRight w:val="0"/>
                      <w:marTop w:val="0"/>
                      <w:marBottom w:val="0"/>
                      <w:divBdr>
                        <w:top w:val="none" w:sz="0" w:space="0" w:color="auto"/>
                        <w:left w:val="none" w:sz="0" w:space="0" w:color="auto"/>
                        <w:bottom w:val="none" w:sz="0" w:space="0" w:color="auto"/>
                        <w:right w:val="none" w:sz="0" w:space="0" w:color="auto"/>
                      </w:divBdr>
                      <w:divsChild>
                        <w:div w:id="900210777">
                          <w:marLeft w:val="0"/>
                          <w:marRight w:val="0"/>
                          <w:marTop w:val="0"/>
                          <w:marBottom w:val="0"/>
                          <w:divBdr>
                            <w:top w:val="none" w:sz="0" w:space="0" w:color="auto"/>
                            <w:left w:val="none" w:sz="0" w:space="0" w:color="auto"/>
                            <w:bottom w:val="none" w:sz="0" w:space="0" w:color="auto"/>
                            <w:right w:val="none" w:sz="0" w:space="0" w:color="auto"/>
                          </w:divBdr>
                          <w:divsChild>
                            <w:div w:id="120691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948514">
      <w:bodyDiv w:val="1"/>
      <w:marLeft w:val="0"/>
      <w:marRight w:val="0"/>
      <w:marTop w:val="0"/>
      <w:marBottom w:val="0"/>
      <w:divBdr>
        <w:top w:val="none" w:sz="0" w:space="0" w:color="auto"/>
        <w:left w:val="none" w:sz="0" w:space="0" w:color="auto"/>
        <w:bottom w:val="none" w:sz="0" w:space="0" w:color="auto"/>
        <w:right w:val="none" w:sz="0" w:space="0" w:color="auto"/>
      </w:divBdr>
    </w:div>
    <w:div w:id="646282824">
      <w:bodyDiv w:val="1"/>
      <w:marLeft w:val="0"/>
      <w:marRight w:val="0"/>
      <w:marTop w:val="0"/>
      <w:marBottom w:val="0"/>
      <w:divBdr>
        <w:top w:val="none" w:sz="0" w:space="0" w:color="auto"/>
        <w:left w:val="none" w:sz="0" w:space="0" w:color="auto"/>
        <w:bottom w:val="none" w:sz="0" w:space="0" w:color="auto"/>
        <w:right w:val="none" w:sz="0" w:space="0" w:color="auto"/>
      </w:divBdr>
    </w:div>
    <w:div w:id="650409858">
      <w:bodyDiv w:val="1"/>
      <w:marLeft w:val="0"/>
      <w:marRight w:val="0"/>
      <w:marTop w:val="0"/>
      <w:marBottom w:val="0"/>
      <w:divBdr>
        <w:top w:val="none" w:sz="0" w:space="0" w:color="auto"/>
        <w:left w:val="none" w:sz="0" w:space="0" w:color="auto"/>
        <w:bottom w:val="none" w:sz="0" w:space="0" w:color="auto"/>
        <w:right w:val="none" w:sz="0" w:space="0" w:color="auto"/>
      </w:divBdr>
    </w:div>
    <w:div w:id="835730843">
      <w:bodyDiv w:val="1"/>
      <w:marLeft w:val="0"/>
      <w:marRight w:val="0"/>
      <w:marTop w:val="0"/>
      <w:marBottom w:val="0"/>
      <w:divBdr>
        <w:top w:val="none" w:sz="0" w:space="0" w:color="auto"/>
        <w:left w:val="none" w:sz="0" w:space="0" w:color="auto"/>
        <w:bottom w:val="none" w:sz="0" w:space="0" w:color="auto"/>
        <w:right w:val="none" w:sz="0" w:space="0" w:color="auto"/>
      </w:divBdr>
    </w:div>
    <w:div w:id="915021218">
      <w:bodyDiv w:val="1"/>
      <w:marLeft w:val="0"/>
      <w:marRight w:val="0"/>
      <w:marTop w:val="0"/>
      <w:marBottom w:val="0"/>
      <w:divBdr>
        <w:top w:val="none" w:sz="0" w:space="0" w:color="auto"/>
        <w:left w:val="none" w:sz="0" w:space="0" w:color="auto"/>
        <w:bottom w:val="none" w:sz="0" w:space="0" w:color="auto"/>
        <w:right w:val="none" w:sz="0" w:space="0" w:color="auto"/>
      </w:divBdr>
    </w:div>
    <w:div w:id="983044048">
      <w:bodyDiv w:val="1"/>
      <w:marLeft w:val="0"/>
      <w:marRight w:val="0"/>
      <w:marTop w:val="0"/>
      <w:marBottom w:val="0"/>
      <w:divBdr>
        <w:top w:val="none" w:sz="0" w:space="0" w:color="auto"/>
        <w:left w:val="none" w:sz="0" w:space="0" w:color="auto"/>
        <w:bottom w:val="none" w:sz="0" w:space="0" w:color="auto"/>
        <w:right w:val="none" w:sz="0" w:space="0" w:color="auto"/>
      </w:divBdr>
    </w:div>
    <w:div w:id="1000237819">
      <w:bodyDiv w:val="1"/>
      <w:marLeft w:val="0"/>
      <w:marRight w:val="0"/>
      <w:marTop w:val="0"/>
      <w:marBottom w:val="0"/>
      <w:divBdr>
        <w:top w:val="none" w:sz="0" w:space="0" w:color="auto"/>
        <w:left w:val="none" w:sz="0" w:space="0" w:color="auto"/>
        <w:bottom w:val="none" w:sz="0" w:space="0" w:color="auto"/>
        <w:right w:val="none" w:sz="0" w:space="0" w:color="auto"/>
      </w:divBdr>
    </w:div>
    <w:div w:id="1046683154">
      <w:bodyDiv w:val="1"/>
      <w:marLeft w:val="0"/>
      <w:marRight w:val="0"/>
      <w:marTop w:val="0"/>
      <w:marBottom w:val="0"/>
      <w:divBdr>
        <w:top w:val="none" w:sz="0" w:space="0" w:color="auto"/>
        <w:left w:val="none" w:sz="0" w:space="0" w:color="auto"/>
        <w:bottom w:val="none" w:sz="0" w:space="0" w:color="auto"/>
        <w:right w:val="none" w:sz="0" w:space="0" w:color="auto"/>
      </w:divBdr>
    </w:div>
    <w:div w:id="1057390248">
      <w:bodyDiv w:val="1"/>
      <w:marLeft w:val="0"/>
      <w:marRight w:val="0"/>
      <w:marTop w:val="0"/>
      <w:marBottom w:val="0"/>
      <w:divBdr>
        <w:top w:val="none" w:sz="0" w:space="0" w:color="auto"/>
        <w:left w:val="none" w:sz="0" w:space="0" w:color="auto"/>
        <w:bottom w:val="none" w:sz="0" w:space="0" w:color="auto"/>
        <w:right w:val="none" w:sz="0" w:space="0" w:color="auto"/>
      </w:divBdr>
    </w:div>
    <w:div w:id="1062171530">
      <w:bodyDiv w:val="1"/>
      <w:marLeft w:val="0"/>
      <w:marRight w:val="0"/>
      <w:marTop w:val="0"/>
      <w:marBottom w:val="0"/>
      <w:divBdr>
        <w:top w:val="none" w:sz="0" w:space="0" w:color="auto"/>
        <w:left w:val="none" w:sz="0" w:space="0" w:color="auto"/>
        <w:bottom w:val="none" w:sz="0" w:space="0" w:color="auto"/>
        <w:right w:val="none" w:sz="0" w:space="0" w:color="auto"/>
      </w:divBdr>
    </w:div>
    <w:div w:id="1164660219">
      <w:bodyDiv w:val="1"/>
      <w:marLeft w:val="0"/>
      <w:marRight w:val="0"/>
      <w:marTop w:val="0"/>
      <w:marBottom w:val="0"/>
      <w:divBdr>
        <w:top w:val="none" w:sz="0" w:space="0" w:color="auto"/>
        <w:left w:val="none" w:sz="0" w:space="0" w:color="auto"/>
        <w:bottom w:val="none" w:sz="0" w:space="0" w:color="auto"/>
        <w:right w:val="none" w:sz="0" w:space="0" w:color="auto"/>
      </w:divBdr>
    </w:div>
    <w:div w:id="1249846144">
      <w:bodyDiv w:val="1"/>
      <w:marLeft w:val="0"/>
      <w:marRight w:val="0"/>
      <w:marTop w:val="0"/>
      <w:marBottom w:val="0"/>
      <w:divBdr>
        <w:top w:val="none" w:sz="0" w:space="0" w:color="auto"/>
        <w:left w:val="none" w:sz="0" w:space="0" w:color="auto"/>
        <w:bottom w:val="none" w:sz="0" w:space="0" w:color="auto"/>
        <w:right w:val="none" w:sz="0" w:space="0" w:color="auto"/>
      </w:divBdr>
    </w:div>
    <w:div w:id="1253590541">
      <w:bodyDiv w:val="1"/>
      <w:marLeft w:val="0"/>
      <w:marRight w:val="0"/>
      <w:marTop w:val="0"/>
      <w:marBottom w:val="0"/>
      <w:divBdr>
        <w:top w:val="none" w:sz="0" w:space="0" w:color="auto"/>
        <w:left w:val="none" w:sz="0" w:space="0" w:color="auto"/>
        <w:bottom w:val="none" w:sz="0" w:space="0" w:color="auto"/>
        <w:right w:val="none" w:sz="0" w:space="0" w:color="auto"/>
      </w:divBdr>
    </w:div>
    <w:div w:id="1274632745">
      <w:bodyDiv w:val="1"/>
      <w:marLeft w:val="0"/>
      <w:marRight w:val="0"/>
      <w:marTop w:val="0"/>
      <w:marBottom w:val="0"/>
      <w:divBdr>
        <w:top w:val="none" w:sz="0" w:space="0" w:color="auto"/>
        <w:left w:val="none" w:sz="0" w:space="0" w:color="auto"/>
        <w:bottom w:val="none" w:sz="0" w:space="0" w:color="auto"/>
        <w:right w:val="none" w:sz="0" w:space="0" w:color="auto"/>
      </w:divBdr>
    </w:div>
    <w:div w:id="1304889953">
      <w:bodyDiv w:val="1"/>
      <w:marLeft w:val="0"/>
      <w:marRight w:val="0"/>
      <w:marTop w:val="0"/>
      <w:marBottom w:val="0"/>
      <w:divBdr>
        <w:top w:val="none" w:sz="0" w:space="0" w:color="auto"/>
        <w:left w:val="none" w:sz="0" w:space="0" w:color="auto"/>
        <w:bottom w:val="none" w:sz="0" w:space="0" w:color="auto"/>
        <w:right w:val="none" w:sz="0" w:space="0" w:color="auto"/>
      </w:divBdr>
    </w:div>
    <w:div w:id="1322124237">
      <w:bodyDiv w:val="1"/>
      <w:marLeft w:val="0"/>
      <w:marRight w:val="0"/>
      <w:marTop w:val="0"/>
      <w:marBottom w:val="0"/>
      <w:divBdr>
        <w:top w:val="none" w:sz="0" w:space="0" w:color="auto"/>
        <w:left w:val="none" w:sz="0" w:space="0" w:color="auto"/>
        <w:bottom w:val="none" w:sz="0" w:space="0" w:color="auto"/>
        <w:right w:val="none" w:sz="0" w:space="0" w:color="auto"/>
      </w:divBdr>
    </w:div>
    <w:div w:id="1420174411">
      <w:bodyDiv w:val="1"/>
      <w:marLeft w:val="0"/>
      <w:marRight w:val="0"/>
      <w:marTop w:val="0"/>
      <w:marBottom w:val="0"/>
      <w:divBdr>
        <w:top w:val="none" w:sz="0" w:space="0" w:color="auto"/>
        <w:left w:val="none" w:sz="0" w:space="0" w:color="auto"/>
        <w:bottom w:val="none" w:sz="0" w:space="0" w:color="auto"/>
        <w:right w:val="none" w:sz="0" w:space="0" w:color="auto"/>
      </w:divBdr>
    </w:div>
    <w:div w:id="1653557377">
      <w:bodyDiv w:val="1"/>
      <w:marLeft w:val="0"/>
      <w:marRight w:val="0"/>
      <w:marTop w:val="0"/>
      <w:marBottom w:val="0"/>
      <w:divBdr>
        <w:top w:val="none" w:sz="0" w:space="0" w:color="auto"/>
        <w:left w:val="none" w:sz="0" w:space="0" w:color="auto"/>
        <w:bottom w:val="none" w:sz="0" w:space="0" w:color="auto"/>
        <w:right w:val="none" w:sz="0" w:space="0" w:color="auto"/>
      </w:divBdr>
    </w:div>
    <w:div w:id="1790080914">
      <w:bodyDiv w:val="1"/>
      <w:marLeft w:val="0"/>
      <w:marRight w:val="0"/>
      <w:marTop w:val="0"/>
      <w:marBottom w:val="0"/>
      <w:divBdr>
        <w:top w:val="none" w:sz="0" w:space="0" w:color="auto"/>
        <w:left w:val="none" w:sz="0" w:space="0" w:color="auto"/>
        <w:bottom w:val="none" w:sz="0" w:space="0" w:color="auto"/>
        <w:right w:val="none" w:sz="0" w:space="0" w:color="auto"/>
      </w:divBdr>
    </w:div>
    <w:div w:id="1819682432">
      <w:bodyDiv w:val="1"/>
      <w:marLeft w:val="0"/>
      <w:marRight w:val="0"/>
      <w:marTop w:val="0"/>
      <w:marBottom w:val="0"/>
      <w:divBdr>
        <w:top w:val="none" w:sz="0" w:space="0" w:color="auto"/>
        <w:left w:val="none" w:sz="0" w:space="0" w:color="auto"/>
        <w:bottom w:val="none" w:sz="0" w:space="0" w:color="auto"/>
        <w:right w:val="none" w:sz="0" w:space="0" w:color="auto"/>
      </w:divBdr>
    </w:div>
    <w:div w:id="1909266512">
      <w:bodyDiv w:val="1"/>
      <w:marLeft w:val="0"/>
      <w:marRight w:val="0"/>
      <w:marTop w:val="0"/>
      <w:marBottom w:val="0"/>
      <w:divBdr>
        <w:top w:val="none" w:sz="0" w:space="0" w:color="auto"/>
        <w:left w:val="none" w:sz="0" w:space="0" w:color="auto"/>
        <w:bottom w:val="none" w:sz="0" w:space="0" w:color="auto"/>
        <w:right w:val="none" w:sz="0" w:space="0" w:color="auto"/>
      </w:divBdr>
    </w:div>
    <w:div w:id="1980182276">
      <w:bodyDiv w:val="1"/>
      <w:marLeft w:val="0"/>
      <w:marRight w:val="0"/>
      <w:marTop w:val="0"/>
      <w:marBottom w:val="0"/>
      <w:divBdr>
        <w:top w:val="none" w:sz="0" w:space="0" w:color="auto"/>
        <w:left w:val="none" w:sz="0" w:space="0" w:color="auto"/>
        <w:bottom w:val="none" w:sz="0" w:space="0" w:color="auto"/>
        <w:right w:val="none" w:sz="0" w:space="0" w:color="auto"/>
      </w:divBdr>
    </w:div>
    <w:div w:id="1984309463">
      <w:bodyDiv w:val="1"/>
      <w:marLeft w:val="0"/>
      <w:marRight w:val="0"/>
      <w:marTop w:val="0"/>
      <w:marBottom w:val="0"/>
      <w:divBdr>
        <w:top w:val="none" w:sz="0" w:space="0" w:color="auto"/>
        <w:left w:val="none" w:sz="0" w:space="0" w:color="auto"/>
        <w:bottom w:val="none" w:sz="0" w:space="0" w:color="auto"/>
        <w:right w:val="none" w:sz="0" w:space="0" w:color="auto"/>
      </w:divBdr>
    </w:div>
    <w:div w:id="2079017695">
      <w:bodyDiv w:val="1"/>
      <w:marLeft w:val="0"/>
      <w:marRight w:val="0"/>
      <w:marTop w:val="0"/>
      <w:marBottom w:val="0"/>
      <w:divBdr>
        <w:top w:val="none" w:sz="0" w:space="0" w:color="auto"/>
        <w:left w:val="none" w:sz="0" w:space="0" w:color="auto"/>
        <w:bottom w:val="none" w:sz="0" w:space="0" w:color="auto"/>
        <w:right w:val="none" w:sz="0" w:space="0" w:color="auto"/>
      </w:divBdr>
    </w:div>
    <w:div w:id="210876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kandincome.govt.nz/products/a-z-benefits/civil-defence-payment.html" TargetMode="External"/><Relationship Id="rId13" Type="http://schemas.openxmlformats.org/officeDocument/2006/relationships/hyperlink" Target="https://www.workingforfamilies.govt.nz/" TargetMode="External"/><Relationship Id="rId18" Type="http://schemas.openxmlformats.org/officeDocument/2006/relationships/hyperlink" Target="https://www.mpi.govt.nz/protection-and-response/responding/adverse-events/how-you-can-get-help/" TargetMode="External"/><Relationship Id="rId26" Type="http://schemas.openxmlformats.org/officeDocument/2006/relationships/hyperlink" Target="https://www.civildefence.govt.nz/assets/guide-to-the-national-cdem-plan/Guide-to-the-National-CDEM-Plan-2015-Section-33.pdf"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workandincome.govt.nz/providers/responding-to-an-emergency/enhanced-taskforce-green.html" TargetMode="External"/><Relationship Id="rId34" Type="http://schemas.openxmlformats.org/officeDocument/2006/relationships/hyperlink" Target="https://www.communitymatters.govt.nz/lottery-grants-board/lottery-grants-board-does-not-fund/"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rd.govt.nz/business-income-tax/extreme-weather-relief/" TargetMode="External"/><Relationship Id="rId17" Type="http://schemas.openxmlformats.org/officeDocument/2006/relationships/hyperlink" Target="https://www.eqc.govt.nz/what-we-do/eqc-insurance" TargetMode="External"/><Relationship Id="rId25" Type="http://schemas.openxmlformats.org/officeDocument/2006/relationships/hyperlink" Target="https://www.civildefence.govt.nz/assets/Uploads/logistics-dgl/DGL-17-15-Logistics.pdf" TargetMode="External"/><Relationship Id="rId33" Type="http://schemas.openxmlformats.org/officeDocument/2006/relationships/hyperlink" Target="https://treasury.govt.nz/sites/default/files/2017-11/b17-3682774.pdf"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civildefence.govt.nz/cdem-sector/cdem-framework/guide-to-the-national-civil-defence-emergency-management-plan/" TargetMode="External"/><Relationship Id="rId20" Type="http://schemas.openxmlformats.org/officeDocument/2006/relationships/hyperlink" Target="https://www.ird.govt.nz/business-income-tax/income-equalisation/adverse-events/" TargetMode="External"/><Relationship Id="rId29" Type="http://schemas.openxmlformats.org/officeDocument/2006/relationships/hyperlink" Target="https://www.civildefence.govt.nz/assets/guide-to-the-national-cdem-plan/Guide-to-the-National-CDEM-Plan-2015-Section-33.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kandincome.govt.nz/products/a-z-benefits/recoverable-assistance-payment-grant.html" TargetMode="External"/><Relationship Id="rId24" Type="http://schemas.openxmlformats.org/officeDocument/2006/relationships/hyperlink" Target="https://www.civildefence.govt.nz/assets/guide-to-the-national-cdem-plan/Guide-to-the-National-CDEM-Plan-2015-Section-33.pdf" TargetMode="External"/><Relationship Id="rId32" Type="http://schemas.openxmlformats.org/officeDocument/2006/relationships/hyperlink" Target="https://www.pikb.co.nz/activity-classes-for-2015-18/local-road-and-state-highway-maintenance/work-category-141-emergency-works-2/"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advisory.org.nz/" TargetMode="External"/><Relationship Id="rId23" Type="http://schemas.openxmlformats.org/officeDocument/2006/relationships/hyperlink" Target="https://www.civildefence.govt.nz/assets/guide-to-the-national-cdem-plan/Guide-to-the-National-CDEM-Plan-2015-Section-33.pdf" TargetMode="External"/><Relationship Id="rId28" Type="http://schemas.openxmlformats.org/officeDocument/2006/relationships/hyperlink" Target="https://www.civildefence.govt.nz/assets/guide-to-the-national-cdem-plan/Guide-to-the-National-CDEM-Plan-2015-Section-33.pdf" TargetMode="External"/><Relationship Id="rId36" Type="http://schemas.openxmlformats.org/officeDocument/2006/relationships/hyperlink" Target="https://www.workandincome.govt.nz/providers/responding-to-an-emergency/enhanced-taskforce-green.html" TargetMode="External"/><Relationship Id="rId10" Type="http://schemas.openxmlformats.org/officeDocument/2006/relationships/hyperlink" Target="https://www.workandincome.govt.nz/products/a-z-benefits/advance-payment-of-benefit.html" TargetMode="External"/><Relationship Id="rId19" Type="http://schemas.openxmlformats.org/officeDocument/2006/relationships/hyperlink" Target="https://www.workandincome.govt.nz/products/a-z-benefits/rural-assistance.html" TargetMode="External"/><Relationship Id="rId31" Type="http://schemas.openxmlformats.org/officeDocument/2006/relationships/hyperlink" Target="https://www.civildefence.govt.nz/assets/guide-to-the-national-cdem-plan/Guide-to-the-National-CDEM-Plan-2015-Section-33.pdf" TargetMode="External"/><Relationship Id="rId4" Type="http://schemas.openxmlformats.org/officeDocument/2006/relationships/settings" Target="settings.xml"/><Relationship Id="rId9" Type="http://schemas.openxmlformats.org/officeDocument/2006/relationships/hyperlink" Target="https://www.workandincome.govt.nz/products/a-z-benefits/special-needs-grant.html" TargetMode="External"/><Relationship Id="rId14" Type="http://schemas.openxmlformats.org/officeDocument/2006/relationships/hyperlink" Target="https://temporaryaccommodation.mbie.govt.nz/" TargetMode="External"/><Relationship Id="rId22" Type="http://schemas.openxmlformats.org/officeDocument/2006/relationships/hyperlink" Target="https://www.ird.govt.nz/business-income-tax/extreme-weather-relief" TargetMode="External"/><Relationship Id="rId27" Type="http://schemas.openxmlformats.org/officeDocument/2006/relationships/hyperlink" Target="https://www.civildefence.govt.nz/assets/guide-to-the-national-cdem-plan/Guide-to-the-National-CDEM-Plan-2015-Section-33.pdf" TargetMode="External"/><Relationship Id="rId30" Type="http://schemas.openxmlformats.org/officeDocument/2006/relationships/hyperlink" Target="https://www.civildefence.govt.nz/assets/guide-to-the-national-cdem-plan/Guide-to-the-National-CDEM-Plan-2015-Section-33.pdf" TargetMode="External"/><Relationship Id="rId35" Type="http://schemas.openxmlformats.org/officeDocument/2006/relationships/hyperlink" Target="https://www.communitymatters.govt.nz/lottery-hurunui-kaikoura-marlborough-community-facilities-earthquake-fund/" TargetMode="Externa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F5778-A491-4B59-9A10-133FC18B6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2243</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Central Government support in recoveries</vt:lpstr>
    </vt:vector>
  </TitlesOfParts>
  <Company>NZ Government</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Government support in recoveries</dc:title>
  <dc:subject>Recovery</dc:subject>
  <dc:creator>Barina Barrett [DPMC]</dc:creator>
  <cp:keywords>emergency, MCDEM, response, recovery, transition, report, template, funding, support, government, MPI, IRD, MBIE, MCDEM, DIA, MSD, DOC</cp:keywords>
  <dc:description>Replace yellow highlights with relevant information or delete if not applicable. _x000d_
This template from MCDEM’s Recovery Toolkit aims to help CDEM Groups and local authorities prepare and support their communities to recover after an emergency, meet their legislative duties and elevate recovery preparedness across New Zealand. The templates provide suggestions based on lessons from previous recoveries - they are not prescriptive. Please email MCDEMRecovery@dpmc.govt.nz with your feedback and suggestions.</dc:description>
  <cp:lastModifiedBy>Andy Hammond-Tooke [DPMC]</cp:lastModifiedBy>
  <cp:revision>2</cp:revision>
  <dcterms:created xsi:type="dcterms:W3CDTF">2019-07-01T20:35:00Z</dcterms:created>
  <dcterms:modified xsi:type="dcterms:W3CDTF">2019-07-01T20:35:00Z</dcterms:modified>
</cp:coreProperties>
</file>