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73" w:rsidRPr="00587E90" w:rsidRDefault="0016370E" w:rsidP="00587E90">
      <w:pPr>
        <w:spacing w:before="480" w:after="0" w:line="240" w:lineRule="auto"/>
        <w:rPr>
          <w:rFonts w:ascii="Open Sans" w:hAnsi="Open Sans" w:cs="Open Sans"/>
          <w:b/>
          <w:color w:val="007F93" w:themeColor="accent1" w:themeShade="BF"/>
          <w:sz w:val="32"/>
        </w:rPr>
      </w:pPr>
      <w:r w:rsidRPr="00587E90">
        <w:rPr>
          <w:rFonts w:ascii="Roboto Slab" w:hAnsi="Roboto Slab" w:cs="Open Sans"/>
          <w:noProof/>
          <w:color w:val="00ABC5" w:themeColor="accent1"/>
          <w:sz w:val="36"/>
          <w:lang w:eastAsia="en-NZ"/>
        </w:rPr>
        <w:drawing>
          <wp:anchor distT="0" distB="0" distL="114300" distR="114300" simplePos="0" relativeHeight="251658240" behindDoc="0" locked="0" layoutInCell="1" allowOverlap="1">
            <wp:simplePos x="0" y="0"/>
            <wp:positionH relativeFrom="rightMargin">
              <wp:posOffset>-1328323</wp:posOffset>
            </wp:positionH>
            <wp:positionV relativeFrom="page">
              <wp:posOffset>119575</wp:posOffset>
            </wp:positionV>
            <wp:extent cx="2030585" cy="2055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RS - Families-03.png"/>
                    <pic:cNvPicPr/>
                  </pic:nvPicPr>
                  <pic:blipFill>
                    <a:blip r:embed="rId7">
                      <a:extLst>
                        <a:ext uri="{28A0092B-C50C-407E-A947-70E740481C1C}">
                          <a14:useLocalDpi xmlns:a14="http://schemas.microsoft.com/office/drawing/2010/main" val="0"/>
                        </a:ext>
                      </a:extLst>
                    </a:blip>
                    <a:stretch>
                      <a:fillRect/>
                    </a:stretch>
                  </pic:blipFill>
                  <pic:spPr>
                    <a:xfrm>
                      <a:off x="0" y="0"/>
                      <a:ext cx="2031334" cy="2056280"/>
                    </a:xfrm>
                    <a:prstGeom prst="rect">
                      <a:avLst/>
                    </a:prstGeom>
                  </pic:spPr>
                </pic:pic>
              </a:graphicData>
            </a:graphic>
            <wp14:sizeRelH relativeFrom="page">
              <wp14:pctWidth>0</wp14:pctWidth>
            </wp14:sizeRelH>
            <wp14:sizeRelV relativeFrom="page">
              <wp14:pctHeight>0</wp14:pctHeight>
            </wp14:sizeRelV>
          </wp:anchor>
        </w:drawing>
      </w:r>
      <w:r w:rsidR="008A2ED0" w:rsidRPr="00587E90">
        <w:rPr>
          <w:rFonts w:ascii="Open Sans" w:hAnsi="Open Sans" w:cs="Open Sans"/>
          <w:b/>
          <w:color w:val="007F93" w:themeColor="accent1" w:themeShade="BF"/>
          <w:sz w:val="36"/>
        </w:rPr>
        <w:t>Individuals and families / whānau</w:t>
      </w:r>
      <w:bookmarkStart w:id="0" w:name="_GoBack"/>
      <w:bookmarkEnd w:id="0"/>
    </w:p>
    <w:p w:rsidR="008A2ED0" w:rsidRPr="0016370E" w:rsidRDefault="008A2ED0" w:rsidP="00587E90">
      <w:pPr>
        <w:spacing w:after="360" w:line="240" w:lineRule="auto"/>
        <w:rPr>
          <w:rFonts w:ascii="Roboto Slab" w:hAnsi="Roboto Slab" w:cs="Open Sans"/>
          <w:color w:val="00ABC5" w:themeColor="accent1"/>
          <w:sz w:val="32"/>
        </w:rPr>
      </w:pPr>
      <w:r w:rsidRPr="0016370E">
        <w:rPr>
          <w:rFonts w:ascii="Roboto Slab" w:hAnsi="Roboto Slab" w:cs="Open Sans"/>
          <w:color w:val="00ABC5" w:themeColor="accent1"/>
          <w:sz w:val="32"/>
        </w:rPr>
        <w:t xml:space="preserve">Te </w:t>
      </w:r>
      <w:proofErr w:type="spellStart"/>
      <w:r w:rsidRPr="0016370E">
        <w:rPr>
          <w:rFonts w:ascii="Roboto Slab" w:hAnsi="Roboto Slab" w:cs="Open Sans"/>
          <w:color w:val="00ABC5" w:themeColor="accent1"/>
          <w:sz w:val="32"/>
        </w:rPr>
        <w:t>tangata</w:t>
      </w:r>
      <w:proofErr w:type="spellEnd"/>
      <w:r w:rsidRPr="0016370E">
        <w:rPr>
          <w:rFonts w:ascii="Roboto Slab" w:hAnsi="Roboto Slab" w:cs="Open Sans"/>
          <w:color w:val="00ABC5" w:themeColor="accent1"/>
          <w:sz w:val="32"/>
        </w:rPr>
        <w:t xml:space="preserve"> me </w:t>
      </w:r>
      <w:proofErr w:type="spellStart"/>
      <w:r w:rsidRPr="0016370E">
        <w:rPr>
          <w:rFonts w:ascii="Roboto Slab" w:hAnsi="Roboto Slab" w:cs="Open Sans"/>
          <w:color w:val="00ABC5" w:themeColor="accent1"/>
          <w:sz w:val="32"/>
        </w:rPr>
        <w:t>ngā</w:t>
      </w:r>
      <w:proofErr w:type="spellEnd"/>
      <w:r w:rsidRPr="0016370E">
        <w:rPr>
          <w:rFonts w:ascii="Roboto Slab" w:hAnsi="Roboto Slab" w:cs="Open Sans"/>
          <w:color w:val="00ABC5" w:themeColor="accent1"/>
          <w:sz w:val="32"/>
        </w:rPr>
        <w:t xml:space="preserve"> wh</w:t>
      </w:r>
      <w:r w:rsidR="00452112">
        <w:rPr>
          <w:rFonts w:ascii="Roboto Slab" w:hAnsi="Roboto Slab" w:cs="Open Sans"/>
          <w:color w:val="00ABC5" w:themeColor="accent1"/>
          <w:sz w:val="32"/>
        </w:rPr>
        <w:t>ā</w:t>
      </w:r>
      <w:r w:rsidRPr="0016370E">
        <w:rPr>
          <w:rFonts w:ascii="Roboto Slab" w:hAnsi="Roboto Slab" w:cs="Open Sans"/>
          <w:color w:val="00ABC5" w:themeColor="accent1"/>
          <w:sz w:val="32"/>
        </w:rPr>
        <w:t>nau</w:t>
      </w:r>
    </w:p>
    <w:p w:rsidR="0041664E" w:rsidRDefault="0041664E" w:rsidP="005E563B">
      <w:pPr>
        <w:pBdr>
          <w:top w:val="single" w:sz="8" w:space="1" w:color="007F93" w:themeColor="accent1" w:themeShade="BF"/>
        </w:pBdr>
        <w:rPr>
          <w:rFonts w:ascii="Open Sans" w:hAnsi="Open Sans" w:cs="Open Sans"/>
          <w:b/>
          <w:color w:val="00ABC5" w:themeColor="accent1"/>
        </w:rPr>
      </w:pPr>
    </w:p>
    <w:p w:rsidR="005E563B" w:rsidRDefault="005E563B">
      <w:pPr>
        <w:rPr>
          <w:rFonts w:ascii="Open Sans" w:hAnsi="Open Sans" w:cs="Open Sans"/>
          <w:b/>
          <w:color w:val="00ABC5" w:themeColor="accent1"/>
        </w:rPr>
        <w:sectPr w:rsidR="005E563B">
          <w:headerReference w:type="default" r:id="rId8"/>
          <w:footerReference w:type="default" r:id="rId9"/>
          <w:pgSz w:w="11906" w:h="16838"/>
          <w:pgMar w:top="1440" w:right="1440" w:bottom="1440" w:left="1440" w:header="708" w:footer="708" w:gutter="0"/>
          <w:cols w:space="708"/>
          <w:docGrid w:linePitch="360"/>
        </w:sectPr>
      </w:pPr>
    </w:p>
    <w:p w:rsidR="008A2ED0" w:rsidRPr="0016370E" w:rsidRDefault="008A2ED0" w:rsidP="00B065A9">
      <w:pPr>
        <w:spacing w:after="120"/>
        <w:rPr>
          <w:rFonts w:ascii="Open Sans" w:hAnsi="Open Sans" w:cs="Open Sans"/>
          <w:b/>
          <w:color w:val="00ABC5" w:themeColor="accent1"/>
          <w:sz w:val="24"/>
        </w:rPr>
      </w:pPr>
      <w:r w:rsidRPr="0016370E">
        <w:rPr>
          <w:rFonts w:ascii="Open Sans" w:hAnsi="Open Sans" w:cs="Open Sans"/>
          <w:b/>
          <w:color w:val="00ABC5" w:themeColor="accent1"/>
          <w:sz w:val="24"/>
        </w:rPr>
        <w:t>Understand your risk</w:t>
      </w:r>
    </w:p>
    <w:p w:rsidR="008A2ED0" w:rsidRPr="0016370E" w:rsidRDefault="008A2ED0" w:rsidP="009A5EE2">
      <w:pPr>
        <w:spacing w:after="360"/>
        <w:rPr>
          <w:rFonts w:ascii="Open Sans" w:hAnsi="Open Sans" w:cs="Open Sans"/>
          <w:sz w:val="20"/>
        </w:rPr>
      </w:pPr>
      <w:r w:rsidRPr="0016370E">
        <w:rPr>
          <w:rFonts w:ascii="Open Sans" w:hAnsi="Open Sans" w:cs="Open Sans"/>
          <w:sz w:val="20"/>
        </w:rPr>
        <w:t>Be aware of the hazards or disruptions you could experience, your exposure – the things you have that are at risk from those disruptions, and your vulnerability – how you and your things might be adversely affected.</w:t>
      </w:r>
    </w:p>
    <w:p w:rsidR="008A2ED0" w:rsidRPr="0016370E" w:rsidRDefault="008A2ED0" w:rsidP="00B065A9">
      <w:pPr>
        <w:spacing w:after="120"/>
        <w:rPr>
          <w:rFonts w:ascii="Open Sans" w:hAnsi="Open Sans" w:cs="Open Sans"/>
          <w:b/>
          <w:color w:val="00ABC5" w:themeColor="accent1"/>
          <w:sz w:val="24"/>
        </w:rPr>
      </w:pPr>
      <w:r w:rsidRPr="0016370E">
        <w:rPr>
          <w:rFonts w:ascii="Open Sans" w:hAnsi="Open Sans" w:cs="Open Sans"/>
          <w:b/>
          <w:color w:val="00ABC5" w:themeColor="accent1"/>
          <w:sz w:val="24"/>
        </w:rPr>
        <w:t>Reduce your risk factors</w:t>
      </w:r>
    </w:p>
    <w:p w:rsidR="008A2ED0" w:rsidRPr="0016370E" w:rsidRDefault="008A2ED0" w:rsidP="009A5EE2">
      <w:pPr>
        <w:spacing w:after="360"/>
        <w:rPr>
          <w:rFonts w:ascii="Open Sans" w:hAnsi="Open Sans" w:cs="Open Sans"/>
          <w:sz w:val="20"/>
        </w:rPr>
      </w:pPr>
      <w:r w:rsidRPr="0016370E">
        <w:rPr>
          <w:rFonts w:ascii="Open Sans" w:hAnsi="Open Sans" w:cs="Open Sans"/>
          <w:sz w:val="20"/>
        </w:rPr>
        <w:t>Think about the range of ways you could reduce your exposure or vulnerability, and invest in doing so where possible.</w:t>
      </w:r>
    </w:p>
    <w:p w:rsidR="008A2ED0" w:rsidRPr="0016370E" w:rsidRDefault="008A2ED0" w:rsidP="00B065A9">
      <w:pPr>
        <w:spacing w:after="120"/>
        <w:rPr>
          <w:rFonts w:ascii="Open Sans" w:hAnsi="Open Sans" w:cs="Open Sans"/>
          <w:b/>
          <w:color w:val="00ABC5" w:themeColor="accent1"/>
          <w:sz w:val="24"/>
        </w:rPr>
      </w:pPr>
      <w:r w:rsidRPr="0016370E">
        <w:rPr>
          <w:rFonts w:ascii="Open Sans" w:hAnsi="Open Sans" w:cs="Open Sans"/>
          <w:b/>
          <w:color w:val="00ABC5" w:themeColor="accent1"/>
          <w:sz w:val="24"/>
        </w:rPr>
        <w:t>Future proof where possible</w:t>
      </w:r>
    </w:p>
    <w:p w:rsidR="008A2ED0" w:rsidRPr="0016370E" w:rsidRDefault="008A2ED0" w:rsidP="009A5EE2">
      <w:pPr>
        <w:spacing w:after="360"/>
        <w:rPr>
          <w:rFonts w:ascii="Open Sans" w:hAnsi="Open Sans" w:cs="Open Sans"/>
          <w:sz w:val="20"/>
        </w:rPr>
      </w:pPr>
      <w:r w:rsidRPr="0016370E">
        <w:rPr>
          <w:rFonts w:ascii="Open Sans" w:hAnsi="Open Sans" w:cs="Open Sans"/>
          <w:sz w:val="20"/>
        </w:rPr>
        <w:t>When making new purchases, think about how to future</w:t>
      </w:r>
      <w:r w:rsidR="001D1713">
        <w:rPr>
          <w:rFonts w:ascii="Open Sans" w:hAnsi="Open Sans" w:cs="Open Sans"/>
          <w:sz w:val="20"/>
        </w:rPr>
        <w:t>-</w:t>
      </w:r>
      <w:r w:rsidRPr="0016370E">
        <w:rPr>
          <w:rFonts w:ascii="Open Sans" w:hAnsi="Open Sans" w:cs="Open Sans"/>
          <w:sz w:val="20"/>
        </w:rPr>
        <w:t xml:space="preserve">proof yourself and build in resilience. </w:t>
      </w:r>
    </w:p>
    <w:p w:rsidR="008A2ED0" w:rsidRPr="0016370E" w:rsidRDefault="008A2ED0" w:rsidP="00B065A9">
      <w:pPr>
        <w:rPr>
          <w:rFonts w:ascii="Open Sans" w:hAnsi="Open Sans" w:cs="Open Sans"/>
          <w:b/>
          <w:color w:val="00ABC5" w:themeColor="accent1"/>
          <w:sz w:val="24"/>
        </w:rPr>
      </w:pPr>
      <w:r w:rsidRPr="0016370E">
        <w:rPr>
          <w:rFonts w:ascii="Open Sans" w:hAnsi="Open Sans" w:cs="Open Sans"/>
          <w:b/>
          <w:color w:val="00ABC5" w:themeColor="accent1"/>
          <w:sz w:val="24"/>
        </w:rPr>
        <w:t>Prepare yourself and your household</w:t>
      </w:r>
    </w:p>
    <w:p w:rsidR="008A2ED0" w:rsidRPr="0016370E" w:rsidRDefault="008A2ED0" w:rsidP="009A5EE2">
      <w:pPr>
        <w:spacing w:after="360"/>
        <w:rPr>
          <w:rFonts w:ascii="Open Sans" w:hAnsi="Open Sans" w:cs="Open Sans"/>
          <w:sz w:val="20"/>
        </w:rPr>
      </w:pPr>
      <w:r w:rsidRPr="0016370E">
        <w:rPr>
          <w:rFonts w:ascii="Open Sans" w:hAnsi="Open Sans" w:cs="Open Sans"/>
          <w:sz w:val="20"/>
        </w:rPr>
        <w:t>Think about the range of impacts that could occur from emergencies (for example, power, water, or communications outages, access or transport issues, the need to stay in or out of your home for an extended period). Think about the things you would want or need to have available to you during that time. Remember to include animals in your emergency preparedness.</w:t>
      </w:r>
    </w:p>
    <w:p w:rsidR="008A2ED0" w:rsidRPr="00B065A9" w:rsidRDefault="005E563B" w:rsidP="00161C5F">
      <w:pPr>
        <w:rPr>
          <w:rFonts w:ascii="Open Sans" w:hAnsi="Open Sans" w:cs="Open Sans"/>
          <w:b/>
          <w:color w:val="00ABC5" w:themeColor="accent1"/>
        </w:rPr>
      </w:pPr>
      <w:r w:rsidRPr="00B065A9">
        <w:rPr>
          <w:rFonts w:ascii="Arial" w:hAnsi="Arial" w:cs="Arial"/>
          <w:b/>
          <w:color w:val="00ABC5" w:themeColor="accent1"/>
        </w:rPr>
        <w:br w:type="column"/>
      </w:r>
      <w:r w:rsidR="008A2ED0" w:rsidRPr="00161C5F">
        <w:rPr>
          <w:rFonts w:ascii="Open Sans" w:hAnsi="Open Sans" w:cs="Open Sans"/>
          <w:b/>
          <w:color w:val="00ABC5" w:themeColor="accent1"/>
          <w:sz w:val="24"/>
        </w:rPr>
        <w:t>Plan for disruption</w:t>
      </w:r>
    </w:p>
    <w:p w:rsidR="005E563B" w:rsidRPr="00B065A9" w:rsidRDefault="001D1713" w:rsidP="005E563B">
      <w:pPr>
        <w:spacing w:after="360"/>
        <w:rPr>
          <w:rFonts w:ascii="Open Sans" w:hAnsi="Open Sans" w:cs="Open Sans"/>
          <w:sz w:val="20"/>
        </w:rPr>
      </w:pPr>
      <w:r>
        <w:rPr>
          <w:rFonts w:ascii="Open Sans" w:hAnsi="Open Sans" w:cs="Open Sans"/>
          <w:sz w:val="20"/>
        </w:rPr>
        <w:t>C</w:t>
      </w:r>
      <w:r w:rsidR="008A2ED0" w:rsidRPr="00B065A9">
        <w:rPr>
          <w:rFonts w:ascii="Open Sans" w:hAnsi="Open Sans" w:cs="Open Sans"/>
          <w:sz w:val="20"/>
        </w:rPr>
        <w:t>onsider how you would meet up with family/whānau and friends if there was a communications outage or access issues.</w:t>
      </w:r>
    </w:p>
    <w:p w:rsidR="008A2ED0" w:rsidRPr="00161C5F" w:rsidRDefault="008A2ED0" w:rsidP="00161C5F">
      <w:pPr>
        <w:rPr>
          <w:rFonts w:ascii="Open Sans" w:hAnsi="Open Sans" w:cs="Open Sans"/>
          <w:b/>
          <w:color w:val="00ABC5" w:themeColor="accent1"/>
          <w:sz w:val="24"/>
        </w:rPr>
      </w:pPr>
      <w:r w:rsidRPr="00161C5F">
        <w:rPr>
          <w:rFonts w:ascii="Open Sans" w:hAnsi="Open Sans" w:cs="Open Sans"/>
          <w:b/>
          <w:color w:val="00ABC5" w:themeColor="accent1"/>
          <w:sz w:val="24"/>
        </w:rPr>
        <w:t>Stay informed</w:t>
      </w:r>
    </w:p>
    <w:p w:rsidR="0041664E" w:rsidRPr="00B065A9" w:rsidRDefault="001D1713" w:rsidP="009A5EE2">
      <w:pPr>
        <w:spacing w:after="360"/>
        <w:rPr>
          <w:rFonts w:ascii="Open Sans" w:hAnsi="Open Sans" w:cs="Open Sans"/>
          <w:sz w:val="20"/>
        </w:rPr>
      </w:pPr>
      <w:r w:rsidRPr="001D1713">
        <w:rPr>
          <w:rFonts w:ascii="Open Sans" w:hAnsi="Open Sans" w:cs="Open Sans"/>
          <w:sz w:val="20"/>
        </w:rPr>
        <w:t xml:space="preserve">Talk to others about risk and resilience; find out the different ways you can stay informed during an emergency and how to </w:t>
      </w:r>
      <w:proofErr w:type="gramStart"/>
      <w:r w:rsidRPr="001D1713">
        <w:rPr>
          <w:rFonts w:ascii="Open Sans" w:hAnsi="Open Sans" w:cs="Open Sans"/>
          <w:sz w:val="20"/>
        </w:rPr>
        <w:t>receive</w:t>
      </w:r>
      <w:proofErr w:type="gramEnd"/>
      <w:r w:rsidRPr="001D1713">
        <w:rPr>
          <w:rFonts w:ascii="Open Sans" w:hAnsi="Open Sans" w:cs="Open Sans"/>
          <w:sz w:val="20"/>
        </w:rPr>
        <w:t xml:space="preserve"> alerts and warnings</w:t>
      </w:r>
      <w:r w:rsidR="0041664E" w:rsidRPr="00B065A9">
        <w:rPr>
          <w:rFonts w:ascii="Open Sans" w:hAnsi="Open Sans" w:cs="Open Sans"/>
          <w:sz w:val="20"/>
        </w:rPr>
        <w:t>.</w:t>
      </w:r>
    </w:p>
    <w:p w:rsidR="0041664E" w:rsidRPr="00161C5F" w:rsidRDefault="008A2ED0" w:rsidP="00161C5F">
      <w:pPr>
        <w:rPr>
          <w:rFonts w:ascii="Open Sans" w:hAnsi="Open Sans" w:cs="Open Sans"/>
          <w:b/>
          <w:color w:val="00ABC5" w:themeColor="accent1"/>
          <w:sz w:val="24"/>
        </w:rPr>
      </w:pPr>
      <w:r w:rsidRPr="00161C5F">
        <w:rPr>
          <w:rFonts w:ascii="Open Sans" w:hAnsi="Open Sans" w:cs="Open Sans"/>
          <w:b/>
          <w:color w:val="00ABC5" w:themeColor="accent1"/>
          <w:sz w:val="24"/>
        </w:rPr>
        <w:t>Know your neighbours</w:t>
      </w:r>
    </w:p>
    <w:p w:rsidR="008A2ED0" w:rsidRDefault="008A2ED0">
      <w:pPr>
        <w:rPr>
          <w:rFonts w:ascii="Open Sans" w:hAnsi="Open Sans" w:cs="Open Sans"/>
          <w:sz w:val="20"/>
        </w:rPr>
      </w:pPr>
      <w:r w:rsidRPr="00B065A9">
        <w:rPr>
          <w:rFonts w:ascii="Open Sans" w:hAnsi="Open Sans" w:cs="Open Sans"/>
          <w:sz w:val="20"/>
        </w:rPr>
        <w:t>Get to know your neighbours and participate in your community – you are each other’s front line.</w:t>
      </w:r>
    </w:p>
    <w:p w:rsidR="00161C5F" w:rsidRDefault="00161C5F">
      <w:pPr>
        <w:rPr>
          <w:rFonts w:ascii="Open Sans" w:hAnsi="Open Sans" w:cs="Open Sans"/>
          <w:sz w:val="20"/>
        </w:rPr>
      </w:pPr>
    </w:p>
    <w:p w:rsidR="00161C5F" w:rsidRPr="00B065A9" w:rsidRDefault="00161C5F">
      <w:pPr>
        <w:rPr>
          <w:rFonts w:ascii="Open Sans" w:hAnsi="Open Sans" w:cs="Open Sans"/>
          <w:sz w:val="24"/>
          <w:lang w:val="mi-NZ"/>
        </w:rPr>
      </w:pPr>
    </w:p>
    <w:sectPr w:rsidR="00161C5F" w:rsidRPr="00B065A9" w:rsidSect="0041664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4E" w:rsidRDefault="0041664E" w:rsidP="0041664E">
      <w:pPr>
        <w:spacing w:after="0" w:line="240" w:lineRule="auto"/>
      </w:pPr>
      <w:r>
        <w:separator/>
      </w:r>
    </w:p>
  </w:endnote>
  <w:endnote w:type="continuationSeparator" w:id="0">
    <w:p w:rsidR="0041664E" w:rsidRDefault="0041664E" w:rsidP="0041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Roboto Slab">
    <w:altName w:val="Times New Roman"/>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E2" w:rsidRPr="00D5032B" w:rsidRDefault="00587E90" w:rsidP="00D5032B">
    <w:pPr>
      <w:pStyle w:val="Footer"/>
      <w:rPr>
        <w:rFonts w:ascii="Roboto Slab" w:hAnsi="Roboto Slab"/>
        <w:b/>
        <w:color w:val="00ABC5" w:themeColor="accent1"/>
        <w:sz w:val="20"/>
        <w:lang w:val="mi-N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354.2pt;margin-top:8.25pt;width:123.75pt;height:11.35pt;z-index:251665408;mso-position-horizontal-relative:text;mso-position-vertical-relative:text;mso-width-relative:page;mso-height-relative:page">
          <v:imagedata r:id="rId1" o:title="Te-Reo-Maori"/>
          <w10:wrap type="square"/>
        </v:shape>
      </w:pict>
    </w:r>
    <w:r>
      <w:rPr>
        <w:noProof/>
      </w:rPr>
      <w:pict>
        <v:shape id="_x0000_s6145" type="#_x0000_t75" style="position:absolute;margin-left:366.2pt;margin-top:-14.1pt;width:111.75pt;height:11.35pt;z-index:251663360;mso-position-horizontal-relative:text;mso-position-vertical-relative:text;mso-width-relative:page;mso-height-relative:page">
          <v:imagedata r:id="rId2" o:title="newzealand government"/>
          <w10:wrap type="square"/>
        </v:shape>
      </w:pict>
    </w:r>
    <w:r w:rsidR="00D5032B" w:rsidRPr="00CA5FA8">
      <w:rPr>
        <w:rFonts w:ascii="Roboto Slab" w:hAnsi="Roboto Slab"/>
        <w:b/>
        <w:color w:val="00ABC5" w:themeColor="accent1"/>
        <w:sz w:val="20"/>
        <w:lang w:val="mi-NZ"/>
      </w:rPr>
      <w:t>civildefence.govt.nz/national-disaster-resilience-strategy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4E" w:rsidRDefault="0041664E" w:rsidP="0041664E">
      <w:pPr>
        <w:spacing w:after="0" w:line="240" w:lineRule="auto"/>
      </w:pPr>
      <w:r>
        <w:separator/>
      </w:r>
    </w:p>
  </w:footnote>
  <w:footnote w:type="continuationSeparator" w:id="0">
    <w:p w:rsidR="0041664E" w:rsidRDefault="0041664E" w:rsidP="0041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E2" w:rsidRDefault="00587E90">
    <w:pPr>
      <w:pStyle w:val="Header"/>
    </w:pPr>
    <w:r>
      <w:rPr>
        <w:noProof/>
        <w:lang w:eastAsia="en-NZ"/>
      </w:rPr>
      <w:drawing>
        <wp:anchor distT="0" distB="0" distL="114300" distR="114300" simplePos="0" relativeHeight="251667456" behindDoc="0" locked="0" layoutInCell="1" allowOverlap="1" wp14:anchorId="0AFF5385" wp14:editId="5D0FAC66">
          <wp:simplePos x="0" y="0"/>
          <wp:positionH relativeFrom="page">
            <wp:posOffset>360045</wp:posOffset>
          </wp:positionH>
          <wp:positionV relativeFrom="page">
            <wp:posOffset>180340</wp:posOffset>
          </wp:positionV>
          <wp:extent cx="6120000" cy="74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741600"/>
                  </a:xfrm>
                  <a:prstGeom prst="rect">
                    <a:avLst/>
                  </a:prstGeom>
                  <a:noFill/>
                </pic:spPr>
              </pic:pic>
            </a:graphicData>
          </a:graphic>
          <wp14:sizeRelH relativeFrom="margin">
            <wp14:pctWidth>0</wp14:pctWidth>
          </wp14:sizeRelH>
          <wp14:sizeRelV relativeFrom="margin">
            <wp14:pctHeight>0</wp14:pctHeight>
          </wp14:sizeRelV>
        </wp:anchor>
      </w:drawing>
    </w:r>
    <w:r w:rsidR="009A5EE2">
      <w:rPr>
        <w:noProof/>
        <w:lang w:eastAsia="en-NZ"/>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-440055</wp:posOffset>
              </wp:positionV>
              <wp:extent cx="7534275" cy="11334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3427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6A1DF" id="Rectangle 1" o:spid="_x0000_s1026" style="position:absolute;margin-left:-71.25pt;margin-top:-34.65pt;width:593.2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3YIfgIAAFIFAAAOAAAAZHJzL2Uyb0RvYy54bWysVN9P2zAQfp+0/8Hy+0hT2sEqUlSBmCYh&#10;QMDEs3HsJpLj885u0+6v39lOAwK0h2l5cHy+u+9++Dufne86w7YKfQu24uXRhDNlJdStXVf85+PV&#10;l1POfBC2FgasqvheeX6+/PzprHcLNYUGTK2QEYj1i95VvAnBLYrCy0Z1wh+BU5aUGrATgURcFzWK&#10;ntA7U0wnk69FD1g7BKm8p9PLrOTLhK+1kuFWa68CMxWn3EJaMa3PcS2WZ2KxRuGaVg5piH/IohOt&#10;paAj1KUIgm2wfQfVtRLBgw5HEroCtG6lSjVQNeXkTTUPjXAq1ULN8W5sk/9/sPJme4esrenuOLOi&#10;oyu6p6YJuzaKlbE9vfMLsnpwdzhInrax1p3GLv6pCrZLLd2PLVW7wCQdnsyPZ9OTOWeSdGV5fDwj&#10;gXCKF3eHPnxX0LG4qThS+NRKsb32IZseTGI0Y+Nq4ao1JmvjSRHTzImlXdgbla3vlab6KJVpQk3M&#10;UhcG2VYQJ4SUyoYyqxpRq3w8n9A35Dl6pKyNJcCIrCn+iD0ARNa+x85ZDvbRVSVijs6TvyWWnUeP&#10;FBlsGJ271gJ+BGCoqiFytj80KbcmdukZ6j3dPkIeC+/kVUt3cC18uBNIc0ATQ7MdbmnRBvqKw7Dj&#10;rAH8/dF5tCd6kpaznuaq4v7XRqDizPywRNxv5WwWBzEJs/nJlAR8rXl+rbGb7gLomoiclF3aRvtg&#10;DluN0D3RE7CKUUklrKTYFZcBD8JFyPNOj4hUq1Uyo+FzIlzbBycjeOxq5Njj7kmgG4gYiMM3cJhB&#10;sXjDx2wbPS2sNgF0m8j60teh3zS4iTjDIxNfhtdysnp5Cpd/AAAA//8DAFBLAwQUAAYACAAAACEA&#10;RZeMROMAAAANAQAADwAAAGRycy9kb3ducmV2LnhtbEyPwU7DMBBE70j8g7VI3FqnSWhpiFNVlXpB&#10;CKmBHnpz4yUOxHYUu2ng69mc4DajfZqdyTejadmAvW+cFbCYR8DQVk41thbw/rafPQLzQVolW2dR&#10;wDd62BS3N7nMlLvaAw5lqBmFWJ9JATqELuPcVxqN9HPXoaXbh+uNDGT7mqteXinctDyOoiU3srH0&#10;QcsOdxqrr/JiBDx/rpJSD9vhJ3nFo3bHl9N+54W4vxu3T8ACjuEPhqk+VYeCOp3dxSrPWgGzRRo/&#10;EEtquU6ATUiUprTvPKl1DLzI+f8VxS8AAAD//wMAUEsBAi0AFAAGAAgAAAAhALaDOJL+AAAA4QEA&#10;ABMAAAAAAAAAAAAAAAAAAAAAAFtDb250ZW50X1R5cGVzXS54bWxQSwECLQAUAAYACAAAACEAOP0h&#10;/9YAAACUAQAACwAAAAAAAAAAAAAAAAAvAQAAX3JlbHMvLnJlbHNQSwECLQAUAAYACAAAACEAe9d2&#10;CH4CAABSBQAADgAAAAAAAAAAAAAAAAAuAgAAZHJzL2Uyb0RvYy54bWxQSwECLQAUAAYACAAAACEA&#10;RZeMROMAAAANAQAADwAAAAAAAAAAAAAAAADYBAAAZHJzL2Rvd25yZXYueG1sUEsFBgAAAAAEAAQA&#10;8wAAAOgFAAAAAA==&#10;" fillcolor="#00abc5 [3204]"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D0"/>
    <w:rsid w:val="00161C5F"/>
    <w:rsid w:val="0016370E"/>
    <w:rsid w:val="001D1713"/>
    <w:rsid w:val="00405128"/>
    <w:rsid w:val="0041664E"/>
    <w:rsid w:val="00452112"/>
    <w:rsid w:val="00526773"/>
    <w:rsid w:val="00587E90"/>
    <w:rsid w:val="005E563B"/>
    <w:rsid w:val="006514B4"/>
    <w:rsid w:val="008A2ED0"/>
    <w:rsid w:val="009A5EE2"/>
    <w:rsid w:val="00B065A9"/>
    <w:rsid w:val="00B24419"/>
    <w:rsid w:val="00C728FC"/>
    <w:rsid w:val="00D5032B"/>
    <w:rsid w:val="00EF1AA1"/>
    <w:rsid w:val="00F82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C75E1A7A-FCDB-4D78-8324-B003D9F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uiPriority w:val="99"/>
    <w:semiHidden/>
    <w:qFormat/>
    <w:rsid w:val="00EF1AA1"/>
    <w:pPr>
      <w:pageBreakBefore/>
      <w:pBdr>
        <w:bottom w:val="single" w:sz="12" w:space="1" w:color="00ABC5" w:themeColor="accent1"/>
      </w:pBdr>
      <w:tabs>
        <w:tab w:val="left" w:pos="2127"/>
      </w:tabs>
      <w:spacing w:before="280" w:after="0" w:line="240" w:lineRule="auto"/>
      <w:contextualSpacing/>
    </w:pPr>
    <w:rPr>
      <w:rFonts w:ascii="Arial Narrow" w:eastAsia="Calibri" w:hAnsi="Arial Narrow" w:cs="Times New Roman"/>
      <w:b/>
      <w:color w:val="E7E6E6" w:themeColor="background2"/>
      <w:sz w:val="36"/>
      <w:szCs w:val="36"/>
    </w:rPr>
  </w:style>
  <w:style w:type="paragraph" w:styleId="TOC2">
    <w:name w:val="toc 2"/>
    <w:basedOn w:val="Normal"/>
    <w:next w:val="Normal"/>
    <w:autoRedefine/>
    <w:uiPriority w:val="39"/>
    <w:rsid w:val="00EF1AA1"/>
    <w:pPr>
      <w:tabs>
        <w:tab w:val="left" w:pos="993"/>
        <w:tab w:val="right" w:leader="dot" w:pos="10065"/>
      </w:tabs>
      <w:spacing w:after="0" w:line="276" w:lineRule="auto"/>
      <w:ind w:left="221" w:firstLine="204"/>
    </w:pPr>
    <w:rPr>
      <w:rFonts w:ascii="Arial" w:eastAsia="Calibri" w:hAnsi="Arial" w:cs="Times New Roman"/>
      <w:noProof/>
    </w:rPr>
  </w:style>
  <w:style w:type="paragraph" w:styleId="TOC5">
    <w:name w:val="toc 5"/>
    <w:basedOn w:val="Normal"/>
    <w:next w:val="Normal"/>
    <w:autoRedefine/>
    <w:rsid w:val="00EF1AA1"/>
    <w:pPr>
      <w:tabs>
        <w:tab w:val="left" w:pos="1701"/>
        <w:tab w:val="right" w:leader="dot" w:pos="9016"/>
      </w:tabs>
      <w:spacing w:before="120" w:after="100" w:line="276" w:lineRule="auto"/>
      <w:ind w:left="426"/>
    </w:pPr>
    <w:rPr>
      <w:rFonts w:ascii="Arial" w:eastAsia="Calibri" w:hAnsi="Arial" w:cs="Times New Roman"/>
    </w:rPr>
  </w:style>
  <w:style w:type="paragraph" w:styleId="Header">
    <w:name w:val="header"/>
    <w:basedOn w:val="Normal"/>
    <w:link w:val="HeaderChar"/>
    <w:uiPriority w:val="99"/>
    <w:unhideWhenUsed/>
    <w:rsid w:val="00416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4E"/>
  </w:style>
  <w:style w:type="paragraph" w:styleId="Footer">
    <w:name w:val="footer"/>
    <w:basedOn w:val="Normal"/>
    <w:link w:val="FooterChar"/>
    <w:uiPriority w:val="99"/>
    <w:unhideWhenUsed/>
    <w:rsid w:val="00416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DRS">
      <a:dk1>
        <a:sysClr val="windowText" lastClr="000000"/>
      </a:dk1>
      <a:lt1>
        <a:srgbClr val="FFFFFF"/>
      </a:lt1>
      <a:dk2>
        <a:srgbClr val="44546A"/>
      </a:dk2>
      <a:lt2>
        <a:srgbClr val="E7E6E6"/>
      </a:lt2>
      <a:accent1>
        <a:srgbClr val="00ABC5"/>
      </a:accent1>
      <a:accent2>
        <a:srgbClr val="B1254E"/>
      </a:accent2>
      <a:accent3>
        <a:srgbClr val="004073"/>
      </a:accent3>
      <a:accent4>
        <a:srgbClr val="00A77E"/>
      </a:accent4>
      <a:accent5>
        <a:srgbClr val="34669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8B33-88BD-42B7-9BC6-7CEF4C94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Canseco [DPMC]</dc:creator>
  <cp:keywords/>
  <dc:description/>
  <cp:lastModifiedBy>Jo Horrocks [DPMC]</cp:lastModifiedBy>
  <cp:revision>5</cp:revision>
  <dcterms:created xsi:type="dcterms:W3CDTF">2019-02-25T00:19:00Z</dcterms:created>
  <dcterms:modified xsi:type="dcterms:W3CDTF">2019-04-10T20:20:00Z</dcterms:modified>
</cp:coreProperties>
</file>