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73" w:rsidRPr="0041664E" w:rsidRDefault="0016370E" w:rsidP="006E3BA5">
      <w:pPr>
        <w:spacing w:before="480" w:after="0" w:line="240" w:lineRule="auto"/>
        <w:rPr>
          <w:rFonts w:ascii="Open Sans" w:hAnsi="Open Sans" w:cs="Open Sans"/>
          <w:b/>
          <w:color w:val="007F93" w:themeColor="accent1" w:themeShade="BF"/>
          <w:sz w:val="28"/>
        </w:rPr>
      </w:pPr>
      <w:r w:rsidRPr="006E3BA5">
        <w:rPr>
          <w:rFonts w:ascii="Roboto Slab" w:hAnsi="Roboto Slab" w:cs="Open Sans"/>
          <w:noProof/>
          <w:color w:val="007D5E" w:themeColor="accent4" w:themeShade="BF"/>
          <w:sz w:val="36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-1296035</wp:posOffset>
            </wp:positionH>
            <wp:positionV relativeFrom="page">
              <wp:posOffset>180340</wp:posOffset>
            </wp:positionV>
            <wp:extent cx="1947600" cy="197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RS - Families-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45" w:rsidRPr="006E3BA5">
        <w:rPr>
          <w:rFonts w:ascii="Open Sans" w:hAnsi="Open Sans" w:cs="Open Sans"/>
          <w:b/>
          <w:color w:val="007D5E" w:themeColor="accent4" w:themeShade="BF"/>
          <w:sz w:val="36"/>
        </w:rPr>
        <w:t xml:space="preserve">Cities and </w:t>
      </w:r>
      <w:r w:rsidR="007F1345" w:rsidRPr="006E3BA5">
        <w:rPr>
          <w:rFonts w:ascii="Open Sans" w:hAnsi="Open Sans" w:cs="Open Sans"/>
          <w:b/>
          <w:color w:val="007D5E"/>
          <w:sz w:val="36"/>
        </w:rPr>
        <w:t>di</w:t>
      </w:r>
      <w:r w:rsidR="007F1345" w:rsidRPr="006E3BA5">
        <w:rPr>
          <w:rFonts w:ascii="Open Sans" w:hAnsi="Open Sans" w:cs="Open Sans"/>
          <w:b/>
          <w:color w:val="007D5E" w:themeColor="accent4" w:themeShade="BF"/>
          <w:sz w:val="36"/>
        </w:rPr>
        <w:t>stricts</w:t>
      </w:r>
    </w:p>
    <w:p w:rsidR="008A2ED0" w:rsidRPr="007F1345" w:rsidRDefault="007F1345" w:rsidP="006E3BA5">
      <w:pPr>
        <w:spacing w:after="360" w:line="240" w:lineRule="auto"/>
        <w:rPr>
          <w:rFonts w:ascii="Roboto Slab" w:hAnsi="Roboto Slab" w:cs="Open Sans"/>
          <w:color w:val="00A77E" w:themeColor="accent4"/>
          <w:sz w:val="32"/>
        </w:rPr>
      </w:pPr>
      <w:r w:rsidRPr="007F1345">
        <w:rPr>
          <w:rFonts w:ascii="Roboto Slab" w:hAnsi="Roboto Slab" w:cs="Open Sans"/>
          <w:color w:val="00A77E" w:themeColor="accent4"/>
          <w:sz w:val="32"/>
        </w:rPr>
        <w:t>Ngā tāonenui me ngā takiwā</w:t>
      </w:r>
    </w:p>
    <w:p w:rsidR="0041664E" w:rsidRPr="006E36F6" w:rsidRDefault="0041664E" w:rsidP="007F1345">
      <w:pPr>
        <w:pBdr>
          <w:top w:val="single" w:sz="8" w:space="1" w:color="007D5E" w:themeColor="accent4" w:themeShade="BF"/>
        </w:pBdr>
        <w:rPr>
          <w:rFonts w:ascii="Open Sans" w:hAnsi="Open Sans" w:cs="Open Sans"/>
          <w:b/>
          <w:color w:val="00ABC5" w:themeColor="accent1"/>
          <w:sz w:val="16"/>
        </w:rPr>
      </w:pPr>
    </w:p>
    <w:p w:rsidR="005E563B" w:rsidRDefault="005E563B">
      <w:pPr>
        <w:rPr>
          <w:rFonts w:ascii="Open Sans" w:hAnsi="Open Sans" w:cs="Open Sans"/>
          <w:b/>
          <w:color w:val="00ABC5" w:themeColor="accent1"/>
        </w:rPr>
        <w:sectPr w:rsidR="005E563B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05DE4" w:rsidRPr="007F1345" w:rsidRDefault="00D05DE4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 w:rsidRPr="007F1345">
        <w:rPr>
          <w:rFonts w:ascii="Open Sans" w:hAnsi="Open Sans" w:cs="Open Sans"/>
          <w:b/>
          <w:color w:val="00A77E" w:themeColor="accent4"/>
          <w:sz w:val="24"/>
        </w:rPr>
        <w:t>Understand your risk</w:t>
      </w:r>
    </w:p>
    <w:p w:rsidR="007F1345" w:rsidRDefault="007F1345" w:rsidP="007F134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Identify and understand hazards and disruptions you could</w:t>
      </w:r>
      <w:r>
        <w:rPr>
          <w:rFonts w:ascii="Open Sans" w:hAnsi="Open Sans" w:cs="Open Sans"/>
          <w:sz w:val="20"/>
        </w:rPr>
        <w:t xml:space="preserve"> </w:t>
      </w:r>
      <w:r w:rsidRPr="007F1345">
        <w:rPr>
          <w:rFonts w:ascii="Open Sans" w:hAnsi="Open Sans" w:cs="Open Sans"/>
          <w:sz w:val="20"/>
        </w:rPr>
        <w:t>face, and the willingness and ability of your community to</w:t>
      </w:r>
      <w:r>
        <w:rPr>
          <w:rFonts w:ascii="Open Sans" w:hAnsi="Open Sans" w:cs="Open Sans"/>
          <w:sz w:val="20"/>
        </w:rPr>
        <w:t xml:space="preserve"> </w:t>
      </w:r>
      <w:r w:rsidRPr="007F1345">
        <w:rPr>
          <w:rFonts w:ascii="Open Sans" w:hAnsi="Open Sans" w:cs="Open Sans"/>
          <w:sz w:val="20"/>
        </w:rPr>
        <w:t>cope with disruption.</w:t>
      </w:r>
    </w:p>
    <w:p w:rsidR="00D05DE4" w:rsidRPr="007F1345" w:rsidRDefault="00E42051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>
        <w:rPr>
          <w:rFonts w:ascii="Open Sans" w:hAnsi="Open Sans" w:cs="Open Sans"/>
          <w:b/>
          <w:color w:val="00A77E" w:themeColor="accent4"/>
          <w:sz w:val="24"/>
        </w:rPr>
        <w:t>Organise for resilience</w:t>
      </w:r>
      <w:bookmarkStart w:id="0" w:name="_GoBack"/>
      <w:bookmarkEnd w:id="0"/>
    </w:p>
    <w:p w:rsidR="007F1345" w:rsidRPr="007F1345" w:rsidRDefault="007F134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Consider whether your governance of risk and resilience is fit for purpose. Engage all interested parties and take a whole-of-city/district approach.</w:t>
      </w:r>
    </w:p>
    <w:p w:rsidR="00D05DE4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 w:rsidRPr="007F1345">
        <w:rPr>
          <w:rFonts w:ascii="Open Sans" w:hAnsi="Open Sans" w:cs="Open Sans"/>
          <w:b/>
          <w:color w:val="00A77E" w:themeColor="accent4"/>
          <w:sz w:val="24"/>
        </w:rPr>
        <w:t>Make resilience a strategic objective</w:t>
      </w:r>
    </w:p>
    <w:p w:rsidR="007F1345" w:rsidRPr="007F1345" w:rsidRDefault="007F134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Make resilience a core strategic objective: the economic prosperity of your city/district, and the wellbeing of your communities depend on it.</w:t>
      </w:r>
    </w:p>
    <w:p w:rsidR="00D05DE4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 w:rsidRPr="007F1345">
        <w:rPr>
          <w:rFonts w:ascii="Open Sans" w:hAnsi="Open Sans" w:cs="Open Sans"/>
          <w:b/>
          <w:color w:val="00A77E" w:themeColor="accent4"/>
          <w:sz w:val="24"/>
        </w:rPr>
        <w:t>Lead, promote, and champion</w:t>
      </w:r>
    </w:p>
    <w:p w:rsidR="007F1345" w:rsidRPr="007F1345" w:rsidRDefault="007F1345" w:rsidP="007E5D85">
      <w:pPr>
        <w:rPr>
          <w:rFonts w:ascii="Open Sans" w:hAnsi="Open Sans" w:cs="Open Sans"/>
          <w:sz w:val="18"/>
        </w:rPr>
      </w:pPr>
      <w:r w:rsidRPr="007F1345">
        <w:rPr>
          <w:rFonts w:ascii="Open Sans" w:hAnsi="Open Sans" w:cs="Open Sans"/>
          <w:sz w:val="20"/>
        </w:rPr>
        <w:t>Lead, promote, and champion city/district-wide investment in resilience. Ensure resilience objectives are embedded in economic development plans and initiatives.</w:t>
      </w:r>
    </w:p>
    <w:p w:rsidR="00D05DE4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 w:rsidRPr="007F1345">
        <w:rPr>
          <w:rFonts w:ascii="Open Sans" w:hAnsi="Open Sans" w:cs="Open Sans"/>
          <w:b/>
          <w:color w:val="00A77E" w:themeColor="accent4"/>
          <w:sz w:val="24"/>
        </w:rPr>
        <w:t>Tackle gaps in hazard risk management policy</w:t>
      </w:r>
    </w:p>
    <w:p w:rsidR="007F1345" w:rsidRPr="007F1345" w:rsidRDefault="007F1345" w:rsidP="007E5D8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Tackle gaps in hazard risk management policy, including matters of retreat or relocation from high risk areas, and adaptation to climate change.</w:t>
      </w:r>
    </w:p>
    <w:p w:rsidR="00D05DE4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 w:rsidRPr="007F1345">
        <w:rPr>
          <w:rFonts w:ascii="Open Sans" w:hAnsi="Open Sans" w:cs="Open Sans"/>
          <w:b/>
          <w:color w:val="00A77E" w:themeColor="accent4"/>
          <w:sz w:val="24"/>
        </w:rPr>
        <w:t>Pursue resilient urban development</w:t>
      </w:r>
    </w:p>
    <w:p w:rsidR="007F1345" w:rsidRPr="007F1345" w:rsidRDefault="007F1345" w:rsidP="007E5D8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Pursue resilient urban development including risk-aware land-use decisions, and urban design and growth that incorporates resilience.</w:t>
      </w:r>
    </w:p>
    <w:p w:rsidR="00D05DE4" w:rsidRPr="007F1345" w:rsidRDefault="006931BB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>
        <w:rPr>
          <w:rFonts w:ascii="Open Sans" w:hAnsi="Open Sans" w:cs="Open Sans"/>
          <w:b/>
          <w:color w:val="00A77E"/>
          <w:sz w:val="24"/>
        </w:rPr>
        <w:br w:type="column"/>
      </w:r>
      <w:r w:rsidR="007F1345" w:rsidRPr="0011457B">
        <w:rPr>
          <w:rFonts w:ascii="Open Sans" w:hAnsi="Open Sans" w:cs="Open Sans"/>
          <w:b/>
          <w:color w:val="00A77E"/>
          <w:sz w:val="24"/>
        </w:rPr>
        <w:t>Increase inf</w:t>
      </w:r>
      <w:r w:rsidR="007F1345" w:rsidRPr="007F1345">
        <w:rPr>
          <w:rFonts w:ascii="Open Sans" w:hAnsi="Open Sans" w:cs="Open Sans"/>
          <w:b/>
          <w:color w:val="00A77E" w:themeColor="accent4"/>
          <w:sz w:val="24"/>
        </w:rPr>
        <w:t>rastructure resilience</w:t>
      </w:r>
    </w:p>
    <w:p w:rsidR="007F1345" w:rsidRPr="007F1345" w:rsidRDefault="007F1345" w:rsidP="007E5D8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Assess risk, and ensure the resilience of critical assets and continuity of essential services.</w:t>
      </w:r>
    </w:p>
    <w:p w:rsidR="00D05DE4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 w:rsidRPr="007F1345">
        <w:rPr>
          <w:rFonts w:ascii="Open Sans" w:hAnsi="Open Sans" w:cs="Open Sans"/>
          <w:b/>
          <w:color w:val="00A77E" w:themeColor="accent4"/>
          <w:sz w:val="24"/>
        </w:rPr>
        <w:t>Safeguard natural buffers</w:t>
      </w:r>
    </w:p>
    <w:p w:rsidR="00161C5F" w:rsidRDefault="007F134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Utilise the protective functions offered by natural ecosystems wherever practicable.</w:t>
      </w:r>
    </w:p>
    <w:p w:rsidR="007F1345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>
        <w:rPr>
          <w:rFonts w:ascii="Open Sans" w:hAnsi="Open Sans" w:cs="Open Sans"/>
          <w:b/>
          <w:color w:val="00A77E" w:themeColor="accent4"/>
          <w:sz w:val="24"/>
        </w:rPr>
        <w:t>Strengthen financial capacity</w:t>
      </w:r>
    </w:p>
    <w:p w:rsidR="007F1345" w:rsidRDefault="007F134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Understand the economic impact of disasters in your area, and the need for investment in resilience. Identify and develop financial mechanisms that can support resilience activities.</w:t>
      </w:r>
    </w:p>
    <w:p w:rsidR="007F1345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>
        <w:rPr>
          <w:rFonts w:ascii="Open Sans" w:hAnsi="Open Sans" w:cs="Open Sans"/>
          <w:b/>
          <w:color w:val="00A77E" w:themeColor="accent4"/>
          <w:sz w:val="24"/>
        </w:rPr>
        <w:t>Strengthen societal capacity</w:t>
      </w:r>
    </w:p>
    <w:p w:rsidR="007F1345" w:rsidRDefault="007F134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Cultivate an environment for social connectedness which promotes a culture of mutual help. Support and enable grassroots efforts and organisations. Support diversity and promote inclusion.</w:t>
      </w:r>
    </w:p>
    <w:p w:rsidR="007F1345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>
        <w:rPr>
          <w:rFonts w:ascii="Open Sans" w:hAnsi="Open Sans" w:cs="Open Sans"/>
          <w:b/>
          <w:color w:val="00A77E" w:themeColor="accent4"/>
          <w:sz w:val="24"/>
        </w:rPr>
        <w:t>Invest in organisational resilience</w:t>
      </w:r>
    </w:p>
    <w:p w:rsidR="007F1345" w:rsidRDefault="007F1345">
      <w:pPr>
        <w:rPr>
          <w:rFonts w:ascii="Open Sans" w:hAnsi="Open Sans" w:cs="Open Sans"/>
          <w:sz w:val="20"/>
        </w:rPr>
      </w:pPr>
      <w:r w:rsidRPr="007F1345">
        <w:rPr>
          <w:rFonts w:ascii="Open Sans" w:hAnsi="Open Sans" w:cs="Open Sans"/>
          <w:sz w:val="20"/>
        </w:rPr>
        <w:t>Ensure you have comprehensive business continuity planning in place, and consider and build your ability to respond to the unexpected.</w:t>
      </w:r>
    </w:p>
    <w:p w:rsidR="007F1345" w:rsidRPr="007F1345" w:rsidRDefault="007F1345" w:rsidP="006E36F6">
      <w:pPr>
        <w:spacing w:after="0"/>
        <w:rPr>
          <w:rFonts w:ascii="Open Sans" w:hAnsi="Open Sans" w:cs="Open Sans"/>
          <w:b/>
          <w:color w:val="00A77E" w:themeColor="accent4"/>
          <w:sz w:val="24"/>
        </w:rPr>
      </w:pPr>
      <w:r>
        <w:rPr>
          <w:rFonts w:ascii="Open Sans" w:hAnsi="Open Sans" w:cs="Open Sans"/>
          <w:b/>
          <w:color w:val="00A77E" w:themeColor="accent4"/>
          <w:sz w:val="24"/>
        </w:rPr>
        <w:t>Build capability and capacity for response and recovery</w:t>
      </w:r>
    </w:p>
    <w:p w:rsidR="007F1345" w:rsidRPr="007F1345" w:rsidRDefault="007F1345">
      <w:pPr>
        <w:rPr>
          <w:rFonts w:ascii="Open Sans" w:hAnsi="Open Sans" w:cs="Open Sans"/>
          <w:sz w:val="18"/>
        </w:rPr>
      </w:pPr>
      <w:r w:rsidRPr="007F1345">
        <w:rPr>
          <w:rFonts w:ascii="Open Sans" w:hAnsi="Open Sans" w:cs="Open Sans"/>
          <w:sz w:val="20"/>
        </w:rPr>
        <w:t>Ensure your capability and capacity is not just fit-for</w:t>
      </w:r>
      <w:r>
        <w:rPr>
          <w:rFonts w:ascii="Open Sans" w:hAnsi="Open Sans" w:cs="Open Sans"/>
          <w:sz w:val="20"/>
        </w:rPr>
        <w:t>-</w:t>
      </w:r>
      <w:r w:rsidRPr="007F1345">
        <w:rPr>
          <w:rFonts w:ascii="Open Sans" w:hAnsi="Open Sans" w:cs="Open Sans"/>
          <w:sz w:val="20"/>
        </w:rPr>
        <w:t>purpose, but future-ready and adaptable.</w:t>
      </w:r>
    </w:p>
    <w:sectPr w:rsidR="007F1345" w:rsidRPr="007F1345" w:rsidSect="0041664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4E" w:rsidRDefault="0041664E" w:rsidP="0041664E">
      <w:pPr>
        <w:spacing w:after="0" w:line="240" w:lineRule="auto"/>
      </w:pPr>
      <w:r>
        <w:separator/>
      </w:r>
    </w:p>
  </w:endnote>
  <w:endnote w:type="continuationSeparator" w:id="0">
    <w:p w:rsidR="0041664E" w:rsidRDefault="0041664E" w:rsidP="0041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2" w:rsidRPr="0011457B" w:rsidRDefault="000B1539" w:rsidP="000B1539">
    <w:pPr>
      <w:pStyle w:val="Footer"/>
      <w:rPr>
        <w:rFonts w:ascii="Roboto Slab" w:hAnsi="Roboto Slab"/>
        <w:b/>
        <w:color w:val="00A77E"/>
        <w:sz w:val="20"/>
        <w:lang w:val="mi-NZ"/>
      </w:rPr>
    </w:pPr>
    <w:r w:rsidRPr="0011457B">
      <w:rPr>
        <w:noProof/>
        <w:color w:val="00A77E"/>
        <w:lang w:eastAsia="en-N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4498340</wp:posOffset>
          </wp:positionH>
          <wp:positionV relativeFrom="paragraph">
            <wp:posOffset>104775</wp:posOffset>
          </wp:positionV>
          <wp:extent cx="1571625" cy="144145"/>
          <wp:effectExtent l="0" t="0" r="9525" b="8255"/>
          <wp:wrapSquare wrapText="bothSides"/>
          <wp:docPr id="4" name="Picture 4" descr="C:\Users\wassilieffio\AppData\Local\Microsoft\Windows\INetCache\Content.Word\Te-Reo-Ma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ssilieffio\AppData\Local\Microsoft\Windows\INetCache\Content.Word\Te-Reo-Mao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57B">
      <w:rPr>
        <w:noProof/>
        <w:color w:val="00A77E"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4650740</wp:posOffset>
          </wp:positionH>
          <wp:positionV relativeFrom="paragraph">
            <wp:posOffset>-179070</wp:posOffset>
          </wp:positionV>
          <wp:extent cx="1419225" cy="144145"/>
          <wp:effectExtent l="0" t="0" r="9525" b="8255"/>
          <wp:wrapSquare wrapText="bothSides"/>
          <wp:docPr id="3" name="Picture 3" descr="C:\Users\wassilieffio\AppData\Local\Microsoft\Windows\INetCache\Content.Word\newzealand govern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ssilieffio\AppData\Local\Microsoft\Windows\INetCache\Content.Word\newzealand governm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57B">
      <w:rPr>
        <w:rFonts w:ascii="Roboto Slab" w:hAnsi="Roboto Slab"/>
        <w:b/>
        <w:color w:val="00A77E"/>
        <w:sz w:val="20"/>
        <w:lang w:val="mi-NZ"/>
      </w:rPr>
      <w:t>civildefence.govt.nz/national-disaster-resilience-strategy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4E" w:rsidRDefault="0041664E" w:rsidP="0041664E">
      <w:pPr>
        <w:spacing w:after="0" w:line="240" w:lineRule="auto"/>
      </w:pPr>
      <w:r>
        <w:separator/>
      </w:r>
    </w:p>
  </w:footnote>
  <w:footnote w:type="continuationSeparator" w:id="0">
    <w:p w:rsidR="0041664E" w:rsidRDefault="0041664E" w:rsidP="0041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2" w:rsidRPr="007F1345" w:rsidRDefault="006E3BA5">
    <w:pPr>
      <w:pStyle w:val="Header"/>
      <w:rPr>
        <w:color w:val="00A77E" w:themeColor="accent4"/>
      </w:rPr>
    </w:pPr>
    <w:r>
      <w:rPr>
        <w:noProof/>
        <w:lang w:eastAsia="en-NZ"/>
      </w:rPr>
      <w:drawing>
        <wp:anchor distT="0" distB="0" distL="114300" distR="114300" simplePos="0" relativeHeight="251666432" behindDoc="0" locked="0" layoutInCell="1" allowOverlap="1" wp14:anchorId="39AC319F" wp14:editId="603C5AD9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6120000" cy="74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EE2" w:rsidRPr="007F1345">
      <w:rPr>
        <w:noProof/>
        <w:color w:val="00A77E" w:themeColor="accent4"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34275" cy="11334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13347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87FCE7" id="Rectangle 1" o:spid="_x0000_s1026" style="position:absolute;margin-left:-71.25pt;margin-top:-34.65pt;width:593.2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" fillcolor="#00a77e [3207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D0"/>
    <w:rsid w:val="000B1539"/>
    <w:rsid w:val="0011457B"/>
    <w:rsid w:val="00161C5F"/>
    <w:rsid w:val="0016370E"/>
    <w:rsid w:val="00405128"/>
    <w:rsid w:val="0041664E"/>
    <w:rsid w:val="00526773"/>
    <w:rsid w:val="005E563B"/>
    <w:rsid w:val="006514B4"/>
    <w:rsid w:val="006931BB"/>
    <w:rsid w:val="006E36F6"/>
    <w:rsid w:val="006E3BA5"/>
    <w:rsid w:val="007E5D85"/>
    <w:rsid w:val="007F1345"/>
    <w:rsid w:val="008A2ED0"/>
    <w:rsid w:val="009A5EE2"/>
    <w:rsid w:val="00A50756"/>
    <w:rsid w:val="00B065A9"/>
    <w:rsid w:val="00B24419"/>
    <w:rsid w:val="00C728FC"/>
    <w:rsid w:val="00D05DE4"/>
    <w:rsid w:val="00E42051"/>
    <w:rsid w:val="00EF1AA1"/>
    <w:rsid w:val="00F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75E1A7A-FCDB-4D78-8324-B003D9F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uiPriority w:val="99"/>
    <w:semiHidden/>
    <w:qFormat/>
    <w:rsid w:val="00EF1AA1"/>
    <w:pPr>
      <w:pageBreakBefore/>
      <w:pBdr>
        <w:bottom w:val="single" w:sz="12" w:space="1" w:color="00ABC5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eastAsia="Calibri" w:hAnsi="Arial Narrow" w:cs="Times New Roman"/>
      <w:b/>
      <w:color w:val="E7E6E6" w:themeColor="background2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EF1AA1"/>
    <w:pPr>
      <w:tabs>
        <w:tab w:val="left" w:pos="993"/>
        <w:tab w:val="right" w:leader="dot" w:pos="10065"/>
      </w:tabs>
      <w:spacing w:after="0" w:line="276" w:lineRule="auto"/>
      <w:ind w:left="221" w:firstLine="204"/>
    </w:pPr>
    <w:rPr>
      <w:rFonts w:ascii="Arial" w:eastAsia="Calibri" w:hAnsi="Arial" w:cs="Times New Roman"/>
      <w:noProof/>
    </w:rPr>
  </w:style>
  <w:style w:type="paragraph" w:styleId="TOC5">
    <w:name w:val="toc 5"/>
    <w:basedOn w:val="Normal"/>
    <w:next w:val="Normal"/>
    <w:autoRedefine/>
    <w:rsid w:val="00EF1AA1"/>
    <w:pPr>
      <w:tabs>
        <w:tab w:val="left" w:pos="1701"/>
        <w:tab w:val="right" w:leader="dot" w:pos="9016"/>
      </w:tabs>
      <w:spacing w:before="120" w:after="100" w:line="276" w:lineRule="auto"/>
      <w:ind w:left="426"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1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4E"/>
  </w:style>
  <w:style w:type="paragraph" w:styleId="Footer">
    <w:name w:val="footer"/>
    <w:basedOn w:val="Normal"/>
    <w:link w:val="FooterChar"/>
    <w:uiPriority w:val="99"/>
    <w:unhideWhenUsed/>
    <w:rsid w:val="0041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DRS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00ABC5"/>
      </a:accent1>
      <a:accent2>
        <a:srgbClr val="B1254E"/>
      </a:accent2>
      <a:accent3>
        <a:srgbClr val="004073"/>
      </a:accent3>
      <a:accent4>
        <a:srgbClr val="00A77E"/>
      </a:accent4>
      <a:accent5>
        <a:srgbClr val="34669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57F0-9861-4E41-9F03-6E7D664C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Agencies Shared Services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Canseco [DPMC]</dc:creator>
  <cp:keywords/>
  <dc:description/>
  <cp:lastModifiedBy>Jo Horrocks [DPMC]</cp:lastModifiedBy>
  <cp:revision>7</cp:revision>
  <dcterms:created xsi:type="dcterms:W3CDTF">2019-02-25T03:01:00Z</dcterms:created>
  <dcterms:modified xsi:type="dcterms:W3CDTF">2019-04-10T20:20:00Z</dcterms:modified>
</cp:coreProperties>
</file>