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73" w:rsidRPr="002C1DC4" w:rsidRDefault="0016370E" w:rsidP="00CF5E5F">
      <w:pPr>
        <w:widowControl w:val="0"/>
        <w:spacing w:before="480" w:after="0" w:line="240" w:lineRule="auto"/>
        <w:rPr>
          <w:rFonts w:ascii="Open Sans" w:hAnsi="Open Sans" w:cs="Open Sans"/>
          <w:b/>
          <w:color w:val="007F93" w:themeColor="accent1" w:themeShade="BF"/>
          <w:sz w:val="32"/>
        </w:rPr>
      </w:pPr>
      <w:r w:rsidRPr="002C1DC4">
        <w:rPr>
          <w:rFonts w:ascii="Roboto Slab" w:hAnsi="Roboto Slab" w:cs="Open Sans"/>
          <w:noProof/>
          <w:color w:val="841B3A" w:themeColor="accent2" w:themeShade="BF"/>
          <w:sz w:val="36"/>
          <w:lang w:eastAsia="en-NZ"/>
        </w:rPr>
        <w:drawing>
          <wp:anchor distT="0" distB="0" distL="114300" distR="114300" simplePos="0" relativeHeight="251658240" behindDoc="0" locked="0" layoutInCell="1" allowOverlap="1">
            <wp:simplePos x="0" y="0"/>
            <wp:positionH relativeFrom="rightMargin">
              <wp:posOffset>-1296035</wp:posOffset>
            </wp:positionH>
            <wp:positionV relativeFrom="page">
              <wp:posOffset>180340</wp:posOffset>
            </wp:positionV>
            <wp:extent cx="1947600" cy="197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RS - Families-03.png"/>
                    <pic:cNvPicPr/>
                  </pic:nvPicPr>
                  <pic:blipFill>
                    <a:blip r:embed="rId7">
                      <a:extLst>
                        <a:ext uri="{28A0092B-C50C-407E-A947-70E740481C1C}">
                          <a14:useLocalDpi xmlns:a14="http://schemas.microsoft.com/office/drawing/2010/main" val="0"/>
                        </a:ext>
                      </a:extLst>
                    </a:blip>
                    <a:stretch>
                      <a:fillRect/>
                    </a:stretch>
                  </pic:blipFill>
                  <pic:spPr>
                    <a:xfrm>
                      <a:off x="0" y="0"/>
                      <a:ext cx="1947600" cy="1972800"/>
                    </a:xfrm>
                    <a:prstGeom prst="rect">
                      <a:avLst/>
                    </a:prstGeom>
                  </pic:spPr>
                </pic:pic>
              </a:graphicData>
            </a:graphic>
            <wp14:sizeRelH relativeFrom="page">
              <wp14:pctWidth>0</wp14:pctWidth>
            </wp14:sizeRelH>
            <wp14:sizeRelV relativeFrom="page">
              <wp14:pctHeight>0</wp14:pctHeight>
            </wp14:sizeRelV>
          </wp:anchor>
        </w:drawing>
      </w:r>
      <w:r w:rsidR="00D05DE4" w:rsidRPr="002C1DC4">
        <w:rPr>
          <w:rFonts w:ascii="Open Sans" w:hAnsi="Open Sans" w:cs="Open Sans"/>
          <w:b/>
          <w:color w:val="841B3A" w:themeColor="accent2" w:themeShade="BF"/>
          <w:sz w:val="36"/>
        </w:rPr>
        <w:t>Businesses and organisations</w:t>
      </w:r>
    </w:p>
    <w:p w:rsidR="008A2ED0" w:rsidRPr="002C1DC4" w:rsidRDefault="00D05DE4" w:rsidP="002C1DC4">
      <w:pPr>
        <w:widowControl w:val="0"/>
        <w:spacing w:after="360" w:line="240" w:lineRule="auto"/>
        <w:rPr>
          <w:rFonts w:ascii="Roboto Slab" w:hAnsi="Roboto Slab" w:cs="Open Sans"/>
          <w:color w:val="B1254E" w:themeColor="accent2"/>
          <w:sz w:val="32"/>
        </w:rPr>
      </w:pPr>
      <w:r w:rsidRPr="002C1DC4">
        <w:rPr>
          <w:rFonts w:ascii="Roboto Slab" w:hAnsi="Roboto Slab" w:cs="Open Sans"/>
          <w:color w:val="B1254E" w:themeColor="accent2"/>
          <w:sz w:val="32"/>
        </w:rPr>
        <w:t>Ngā pakihi me ngā whakahaere</w:t>
      </w:r>
    </w:p>
    <w:p w:rsidR="0041664E" w:rsidRDefault="0041664E" w:rsidP="00F24BA7">
      <w:pPr>
        <w:widowControl w:val="0"/>
        <w:pBdr>
          <w:top w:val="single" w:sz="8" w:space="1" w:color="841B3A" w:themeColor="accent2" w:themeShade="BF"/>
        </w:pBdr>
        <w:rPr>
          <w:rFonts w:ascii="Open Sans" w:hAnsi="Open Sans" w:cs="Open Sans"/>
          <w:b/>
          <w:color w:val="00ABC5" w:themeColor="accent1"/>
        </w:rPr>
      </w:pPr>
    </w:p>
    <w:p w:rsidR="005E563B" w:rsidRDefault="005E563B" w:rsidP="00F24BA7">
      <w:pPr>
        <w:widowControl w:val="0"/>
        <w:rPr>
          <w:rFonts w:ascii="Open Sans" w:hAnsi="Open Sans" w:cs="Open Sans"/>
          <w:b/>
          <w:color w:val="00ABC5" w:themeColor="accent1"/>
        </w:rPr>
        <w:sectPr w:rsidR="005E563B">
          <w:headerReference w:type="default" r:id="rId8"/>
          <w:footerReference w:type="default" r:id="rId9"/>
          <w:pgSz w:w="11906" w:h="16838"/>
          <w:pgMar w:top="1440" w:right="1440" w:bottom="1440" w:left="1440" w:header="708" w:footer="708" w:gutter="0"/>
          <w:cols w:space="708"/>
          <w:docGrid w:linePitch="360"/>
        </w:sectPr>
      </w:pPr>
    </w:p>
    <w:p w:rsidR="00D05DE4" w:rsidRPr="00D05DE4" w:rsidRDefault="00D05DE4" w:rsidP="00F24BA7">
      <w:pPr>
        <w:widowControl w:val="0"/>
        <w:rPr>
          <w:rFonts w:ascii="Open Sans" w:hAnsi="Open Sans" w:cs="Open Sans"/>
          <w:b/>
          <w:color w:val="B1254E" w:themeColor="accent2"/>
          <w:sz w:val="24"/>
        </w:rPr>
      </w:pPr>
      <w:r w:rsidRPr="00D05DE4">
        <w:rPr>
          <w:rFonts w:ascii="Open Sans" w:hAnsi="Open Sans" w:cs="Open Sans"/>
          <w:b/>
          <w:color w:val="B1254E" w:themeColor="accent2"/>
          <w:sz w:val="24"/>
        </w:rPr>
        <w:t>Unde</w:t>
      </w:r>
      <w:r w:rsidRPr="00CC3F5C">
        <w:rPr>
          <w:rFonts w:ascii="Open Sans" w:hAnsi="Open Sans" w:cs="Open Sans"/>
          <w:b/>
          <w:color w:val="B1254E"/>
          <w:sz w:val="24"/>
        </w:rPr>
        <w:t>rs</w:t>
      </w:r>
      <w:r w:rsidRPr="00D05DE4">
        <w:rPr>
          <w:rFonts w:ascii="Open Sans" w:hAnsi="Open Sans" w:cs="Open Sans"/>
          <w:b/>
          <w:color w:val="B1254E" w:themeColor="accent2"/>
          <w:sz w:val="24"/>
        </w:rPr>
        <w:t>tand your risk</w:t>
      </w:r>
    </w:p>
    <w:p w:rsidR="00D05DE4" w:rsidRPr="00A50756" w:rsidRDefault="00D05DE4" w:rsidP="00F24BA7">
      <w:pPr>
        <w:widowControl w:val="0"/>
        <w:rPr>
          <w:rFonts w:ascii="Open Sans" w:hAnsi="Open Sans" w:cs="Open Sans"/>
          <w:sz w:val="20"/>
        </w:rPr>
      </w:pPr>
      <w:r w:rsidRPr="00A50756">
        <w:rPr>
          <w:rFonts w:ascii="Open Sans" w:hAnsi="Open Sans" w:cs="Open Sans"/>
          <w:sz w:val="20"/>
        </w:rPr>
        <w:t>Be aware of the hazards or disruptions you could experience, how your assets (people and capital) might be impacted and the strengths and resources available to manage those disruptions.</w:t>
      </w:r>
    </w:p>
    <w:p w:rsidR="00D05DE4" w:rsidRPr="00D05DE4" w:rsidRDefault="00D05DE4" w:rsidP="00F24BA7">
      <w:pPr>
        <w:widowControl w:val="0"/>
        <w:rPr>
          <w:rFonts w:ascii="Open Sans" w:hAnsi="Open Sans" w:cs="Open Sans"/>
          <w:b/>
          <w:color w:val="B1254E" w:themeColor="accent2"/>
          <w:sz w:val="24"/>
        </w:rPr>
      </w:pPr>
      <w:r w:rsidRPr="00D05DE4">
        <w:rPr>
          <w:rFonts w:ascii="Open Sans" w:hAnsi="Open Sans" w:cs="Open Sans"/>
          <w:b/>
          <w:color w:val="B1254E" w:themeColor="accent2"/>
          <w:sz w:val="24"/>
        </w:rPr>
        <w:t>Make resilience a strategic objective and embed it in appropriate actions, plans and strategies</w:t>
      </w:r>
    </w:p>
    <w:p w:rsidR="00D05DE4" w:rsidRPr="00A50756" w:rsidRDefault="00D05DE4" w:rsidP="00F24BA7">
      <w:pPr>
        <w:widowControl w:val="0"/>
        <w:rPr>
          <w:rFonts w:ascii="Open Sans" w:hAnsi="Open Sans" w:cs="Open Sans"/>
          <w:sz w:val="20"/>
        </w:rPr>
      </w:pPr>
      <w:r w:rsidRPr="00A50756">
        <w:rPr>
          <w:rFonts w:ascii="Open Sans" w:hAnsi="Open Sans" w:cs="Open Sans"/>
          <w:sz w:val="20"/>
        </w:rPr>
        <w:t>The continuity of your business (and the wellbeing of the people that rely on your products/services) depends on it.</w:t>
      </w:r>
    </w:p>
    <w:p w:rsidR="00D05DE4" w:rsidRPr="00D05DE4" w:rsidRDefault="00D05DE4" w:rsidP="00F24BA7">
      <w:pPr>
        <w:widowControl w:val="0"/>
        <w:rPr>
          <w:rFonts w:ascii="Open Sans" w:hAnsi="Open Sans" w:cs="Open Sans"/>
          <w:b/>
          <w:color w:val="B1254E" w:themeColor="accent2"/>
          <w:sz w:val="24"/>
        </w:rPr>
      </w:pPr>
      <w:r w:rsidRPr="00D05DE4">
        <w:rPr>
          <w:rFonts w:ascii="Open Sans" w:hAnsi="Open Sans" w:cs="Open Sans"/>
          <w:b/>
          <w:color w:val="B1254E" w:themeColor="accent2"/>
          <w:sz w:val="24"/>
        </w:rPr>
        <w:t>Invest in organisational resilience</w:t>
      </w:r>
    </w:p>
    <w:p w:rsidR="00F15429" w:rsidRDefault="00F15429" w:rsidP="00F24BA7">
      <w:pPr>
        <w:widowControl w:val="0"/>
        <w:rPr>
          <w:rFonts w:ascii="Open Sans" w:hAnsi="Open Sans" w:cs="Open Sans"/>
          <w:sz w:val="20"/>
        </w:rPr>
      </w:pPr>
      <w:r w:rsidRPr="00F15429">
        <w:rPr>
          <w:rFonts w:ascii="Open Sans" w:hAnsi="Open Sans" w:cs="Open Sans"/>
          <w:sz w:val="20"/>
        </w:rPr>
        <w:t>Reduce and manage the factors that are contributing to your risk. Ensure comprehensive business continuity planning, and consider building your ability to respond to the unexpected.</w:t>
      </w:r>
    </w:p>
    <w:p w:rsidR="00D05DE4" w:rsidRPr="00D05DE4" w:rsidRDefault="00D05DE4" w:rsidP="00F24BA7">
      <w:pPr>
        <w:widowControl w:val="0"/>
        <w:rPr>
          <w:rFonts w:ascii="Open Sans" w:hAnsi="Open Sans" w:cs="Open Sans"/>
          <w:b/>
          <w:color w:val="B1254E" w:themeColor="accent2"/>
          <w:sz w:val="24"/>
        </w:rPr>
      </w:pPr>
      <w:r w:rsidRPr="00D05DE4">
        <w:rPr>
          <w:rFonts w:ascii="Open Sans" w:hAnsi="Open Sans" w:cs="Open Sans"/>
          <w:b/>
          <w:color w:val="B1254E" w:themeColor="accent2"/>
          <w:sz w:val="24"/>
        </w:rPr>
        <w:t>Seek assurances about supply chain resilience</w:t>
      </w:r>
    </w:p>
    <w:p w:rsidR="00D05DE4" w:rsidRPr="00A50756" w:rsidRDefault="00D05DE4" w:rsidP="00F24BA7">
      <w:pPr>
        <w:widowControl w:val="0"/>
        <w:rPr>
          <w:rFonts w:ascii="Open Sans" w:hAnsi="Open Sans" w:cs="Open Sans"/>
          <w:sz w:val="20"/>
        </w:rPr>
      </w:pPr>
      <w:r w:rsidRPr="00A50756">
        <w:rPr>
          <w:rFonts w:ascii="Open Sans" w:hAnsi="Open Sans" w:cs="Open Sans"/>
          <w:sz w:val="20"/>
        </w:rPr>
        <w:t xml:space="preserve">Seek specific advice and assurances from suppliers as to their business continuity plans, stock carrying policies, exposure to non-supply and supply chain alert processes. </w:t>
      </w:r>
    </w:p>
    <w:p w:rsidR="00D05DE4" w:rsidRPr="00D05DE4" w:rsidRDefault="00D05DE4" w:rsidP="00F24BA7">
      <w:pPr>
        <w:widowControl w:val="0"/>
        <w:rPr>
          <w:rFonts w:ascii="Open Sans" w:hAnsi="Open Sans" w:cs="Open Sans"/>
          <w:b/>
          <w:color w:val="B1254E" w:themeColor="accent2"/>
          <w:sz w:val="24"/>
        </w:rPr>
      </w:pPr>
      <w:r w:rsidRPr="00D05DE4">
        <w:rPr>
          <w:rFonts w:ascii="Open Sans" w:hAnsi="Open Sans" w:cs="Open Sans"/>
          <w:b/>
          <w:color w:val="B1254E" w:themeColor="accent2"/>
          <w:sz w:val="24"/>
        </w:rPr>
        <w:t>Benefit today, benefit tomorrow</w:t>
      </w:r>
    </w:p>
    <w:p w:rsidR="00F24BA7" w:rsidRDefault="00D05DE4" w:rsidP="00F24BA7">
      <w:pPr>
        <w:widowControl w:val="0"/>
        <w:rPr>
          <w:rFonts w:ascii="Open Sans" w:hAnsi="Open Sans" w:cs="Open Sans"/>
          <w:sz w:val="20"/>
        </w:rPr>
      </w:pPr>
      <w:r w:rsidRPr="00A50756">
        <w:rPr>
          <w:rFonts w:ascii="Open Sans" w:hAnsi="Open Sans" w:cs="Open Sans"/>
          <w:sz w:val="20"/>
        </w:rPr>
        <w:t>Try to find crisis/disaster preparedness solutions that have everyday benefits for your organisation.</w:t>
      </w:r>
      <w:r w:rsidR="00F15429">
        <w:rPr>
          <w:rFonts w:ascii="Open Sans" w:hAnsi="Open Sans" w:cs="Open Sans"/>
          <w:sz w:val="20"/>
        </w:rPr>
        <w:t xml:space="preserve"> </w:t>
      </w:r>
      <w:r w:rsidR="00F15429" w:rsidRPr="00F15429">
        <w:rPr>
          <w:rFonts w:ascii="Open Sans" w:hAnsi="Open Sans" w:cs="Open Sans"/>
          <w:sz w:val="20"/>
        </w:rPr>
        <w:t>As well as being prepared for tomorrow, you will have a better organisation today.</w:t>
      </w:r>
      <w:r w:rsidR="00F24BA7">
        <w:rPr>
          <w:rFonts w:ascii="Open Sans" w:hAnsi="Open Sans" w:cs="Open Sans"/>
          <w:sz w:val="20"/>
        </w:rPr>
        <w:t xml:space="preserve"> </w:t>
      </w:r>
    </w:p>
    <w:p w:rsidR="00D05DE4" w:rsidRPr="00D05DE4" w:rsidRDefault="00D05DE4" w:rsidP="00F24BA7">
      <w:pPr>
        <w:widowControl w:val="0"/>
        <w:rPr>
          <w:rFonts w:ascii="Open Sans" w:hAnsi="Open Sans" w:cs="Open Sans"/>
          <w:b/>
          <w:color w:val="B1254E" w:themeColor="accent2"/>
          <w:sz w:val="24"/>
        </w:rPr>
      </w:pPr>
      <w:r w:rsidRPr="00D05DE4">
        <w:rPr>
          <w:rFonts w:ascii="Open Sans" w:hAnsi="Open Sans" w:cs="Open Sans"/>
          <w:b/>
          <w:color w:val="B1254E" w:themeColor="accent2"/>
          <w:sz w:val="24"/>
        </w:rPr>
        <w:t>Consider your social impact</w:t>
      </w:r>
      <w:bookmarkStart w:id="0" w:name="_GoBack"/>
      <w:bookmarkEnd w:id="0"/>
    </w:p>
    <w:p w:rsidR="00D05DE4" w:rsidRPr="00A50756" w:rsidRDefault="00D05DE4" w:rsidP="00F24BA7">
      <w:pPr>
        <w:widowControl w:val="0"/>
        <w:rPr>
          <w:rFonts w:ascii="Open Sans" w:hAnsi="Open Sans" w:cs="Open Sans"/>
          <w:sz w:val="20"/>
        </w:rPr>
      </w:pPr>
      <w:r w:rsidRPr="00A50756">
        <w:rPr>
          <w:rFonts w:ascii="Open Sans" w:hAnsi="Open Sans" w:cs="Open Sans"/>
          <w:sz w:val="20"/>
        </w:rPr>
        <w:t>Consider how you can contribute to the resilience of your community, city or district. As well as helping your community, you will also be reducing the risks to your organisation of being disrupted.</w:t>
      </w:r>
    </w:p>
    <w:p w:rsidR="00D05DE4" w:rsidRPr="00D05DE4" w:rsidRDefault="00D05DE4" w:rsidP="00F24BA7">
      <w:pPr>
        <w:widowControl w:val="0"/>
        <w:rPr>
          <w:rFonts w:ascii="Open Sans" w:hAnsi="Open Sans" w:cs="Open Sans"/>
          <w:b/>
          <w:color w:val="B1254E" w:themeColor="accent2"/>
          <w:sz w:val="24"/>
        </w:rPr>
      </w:pPr>
      <w:r w:rsidRPr="00D05DE4">
        <w:rPr>
          <w:rFonts w:ascii="Open Sans" w:hAnsi="Open Sans" w:cs="Open Sans"/>
          <w:b/>
          <w:color w:val="B1254E" w:themeColor="accent2"/>
          <w:sz w:val="24"/>
        </w:rPr>
        <w:t>Keep the long term in mind</w:t>
      </w:r>
    </w:p>
    <w:p w:rsidR="00D05DE4" w:rsidRPr="00A50756" w:rsidRDefault="00D05DE4" w:rsidP="00F24BA7">
      <w:pPr>
        <w:widowControl w:val="0"/>
        <w:rPr>
          <w:rFonts w:ascii="Open Sans" w:hAnsi="Open Sans" w:cs="Open Sans"/>
          <w:sz w:val="20"/>
        </w:rPr>
      </w:pPr>
      <w:r w:rsidRPr="00A50756">
        <w:rPr>
          <w:rFonts w:ascii="Open Sans" w:hAnsi="Open Sans" w:cs="Open Sans"/>
          <w:sz w:val="20"/>
        </w:rPr>
        <w:t>Consider the longer-term changes in your environment, for example the impact of climate change, and how you can position your organisation to see these changes as an opportunity.</w:t>
      </w:r>
    </w:p>
    <w:p w:rsidR="00D05DE4" w:rsidRPr="00D05DE4" w:rsidRDefault="00D05DE4" w:rsidP="00F24BA7">
      <w:pPr>
        <w:widowControl w:val="0"/>
        <w:rPr>
          <w:rFonts w:ascii="Open Sans" w:hAnsi="Open Sans" w:cs="Open Sans"/>
          <w:b/>
          <w:color w:val="B1254E" w:themeColor="accent2"/>
          <w:sz w:val="24"/>
        </w:rPr>
      </w:pPr>
      <w:r w:rsidRPr="00D05DE4">
        <w:rPr>
          <w:rFonts w:ascii="Open Sans" w:hAnsi="Open Sans" w:cs="Open Sans"/>
          <w:b/>
          <w:color w:val="B1254E" w:themeColor="accent2"/>
          <w:sz w:val="24"/>
        </w:rPr>
        <w:t>Collaborate with others and build your network</w:t>
      </w:r>
    </w:p>
    <w:p w:rsidR="00D05DE4" w:rsidRPr="00A50756" w:rsidRDefault="00D05DE4" w:rsidP="00F24BA7">
      <w:pPr>
        <w:widowControl w:val="0"/>
        <w:rPr>
          <w:rFonts w:ascii="Open Sans" w:hAnsi="Open Sans" w:cs="Open Sans"/>
          <w:sz w:val="20"/>
        </w:rPr>
      </w:pPr>
      <w:r w:rsidRPr="00A50756">
        <w:rPr>
          <w:rFonts w:ascii="Open Sans" w:hAnsi="Open Sans" w:cs="Open Sans"/>
          <w:sz w:val="20"/>
        </w:rPr>
        <w:t>Find others with similar objectives in respect of risk and resilience, and collaborate with them – we are stronger together, and you have much to contribute and gain.</w:t>
      </w:r>
    </w:p>
    <w:p w:rsidR="00D05DE4" w:rsidRPr="00D05DE4" w:rsidRDefault="00D05DE4" w:rsidP="00F24BA7">
      <w:pPr>
        <w:widowControl w:val="0"/>
        <w:rPr>
          <w:rFonts w:ascii="Open Sans" w:hAnsi="Open Sans" w:cs="Open Sans"/>
          <w:b/>
          <w:color w:val="B1254E" w:themeColor="accent2"/>
          <w:sz w:val="24"/>
        </w:rPr>
      </w:pPr>
      <w:r w:rsidRPr="00D05DE4">
        <w:rPr>
          <w:rFonts w:ascii="Open Sans" w:hAnsi="Open Sans" w:cs="Open Sans"/>
          <w:b/>
          <w:color w:val="B1254E" w:themeColor="accent2"/>
          <w:sz w:val="24"/>
        </w:rPr>
        <w:t>Learn about response and recovery</w:t>
      </w:r>
    </w:p>
    <w:p w:rsidR="00161C5F" w:rsidRDefault="00D05DE4" w:rsidP="00F24BA7">
      <w:pPr>
        <w:widowControl w:val="0"/>
        <w:rPr>
          <w:rFonts w:ascii="Open Sans" w:hAnsi="Open Sans" w:cs="Open Sans"/>
          <w:sz w:val="20"/>
        </w:rPr>
      </w:pPr>
      <w:r w:rsidRPr="00A50756">
        <w:rPr>
          <w:rFonts w:ascii="Open Sans" w:hAnsi="Open Sans" w:cs="Open Sans"/>
          <w:sz w:val="20"/>
        </w:rPr>
        <w:t>Understand how response and recovery will work in your district or area of interest, and build your own capacity to respond to and recover from disruption.</w:t>
      </w:r>
    </w:p>
    <w:p w:rsidR="00161C5F" w:rsidRPr="00B065A9" w:rsidRDefault="00161C5F" w:rsidP="00F24BA7">
      <w:pPr>
        <w:widowControl w:val="0"/>
        <w:rPr>
          <w:rFonts w:ascii="Open Sans" w:hAnsi="Open Sans" w:cs="Open Sans"/>
          <w:sz w:val="24"/>
          <w:lang w:val="mi-NZ"/>
        </w:rPr>
      </w:pPr>
    </w:p>
    <w:sectPr w:rsidR="00161C5F" w:rsidRPr="00B065A9" w:rsidSect="00F24BA7">
      <w:type w:val="continuous"/>
      <w:pgSz w:w="11906" w:h="16838"/>
      <w:pgMar w:top="1440" w:right="1418" w:bottom="1247" w:left="1440" w:header="709" w:footer="709" w:gutter="0"/>
      <w:cols w:num="2" w:space="567" w:equalWidth="0">
        <w:col w:w="4309" w:space="567"/>
        <w:col w:w="41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64E" w:rsidRDefault="0041664E" w:rsidP="0041664E">
      <w:pPr>
        <w:spacing w:after="0" w:line="240" w:lineRule="auto"/>
      </w:pPr>
      <w:r>
        <w:separator/>
      </w:r>
    </w:p>
  </w:endnote>
  <w:endnote w:type="continuationSeparator" w:id="0">
    <w:p w:rsidR="0041664E" w:rsidRDefault="0041664E" w:rsidP="0041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E2" w:rsidRPr="00CC3F5C" w:rsidRDefault="00CC3F5C" w:rsidP="00CC3F5C">
    <w:pPr>
      <w:pStyle w:val="Footer"/>
      <w:rPr>
        <w:rFonts w:ascii="Roboto Slab" w:hAnsi="Roboto Slab"/>
        <w:b/>
        <w:color w:val="00ABC5" w:themeColor="accent1"/>
        <w:sz w:val="20"/>
        <w:lang w:val="mi-NZ"/>
      </w:rPr>
    </w:pPr>
    <w:r w:rsidRPr="00CC3F5C">
      <w:rPr>
        <w:noProof/>
        <w:color w:val="B1254E"/>
        <w:lang w:eastAsia="en-NZ"/>
      </w:rPr>
      <w:drawing>
        <wp:anchor distT="0" distB="0" distL="114300" distR="114300" simplePos="0" relativeHeight="251664384" behindDoc="0" locked="0" layoutInCell="1" allowOverlap="1">
          <wp:simplePos x="0" y="0"/>
          <wp:positionH relativeFrom="column">
            <wp:posOffset>4498340</wp:posOffset>
          </wp:positionH>
          <wp:positionV relativeFrom="paragraph">
            <wp:posOffset>104775</wp:posOffset>
          </wp:positionV>
          <wp:extent cx="1571625" cy="144145"/>
          <wp:effectExtent l="0" t="0" r="9525" b="8255"/>
          <wp:wrapSquare wrapText="bothSides"/>
          <wp:docPr id="4" name="Picture 4" descr="C:\Users\wassilieffio\AppData\Local\Microsoft\Windows\INetCache\Content.Word\Te-Reo-Ma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ssilieffio\AppData\Local\Microsoft\Windows\INetCache\Content.Word\Te-Reo-Maor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44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F5C">
      <w:rPr>
        <w:noProof/>
        <w:color w:val="B1254E"/>
        <w:lang w:eastAsia="en-NZ"/>
      </w:rPr>
      <w:drawing>
        <wp:anchor distT="0" distB="0" distL="114300" distR="114300" simplePos="0" relativeHeight="251658240" behindDoc="0" locked="0" layoutInCell="1" allowOverlap="1">
          <wp:simplePos x="0" y="0"/>
          <wp:positionH relativeFrom="column">
            <wp:posOffset>4650740</wp:posOffset>
          </wp:positionH>
          <wp:positionV relativeFrom="paragraph">
            <wp:posOffset>-179070</wp:posOffset>
          </wp:positionV>
          <wp:extent cx="1419225" cy="144145"/>
          <wp:effectExtent l="0" t="0" r="9525" b="8255"/>
          <wp:wrapSquare wrapText="bothSides"/>
          <wp:docPr id="3" name="Picture 3" descr="C:\Users\wassilieffio\AppData\Local\Microsoft\Windows\INetCache\Content.Word\newzealand govern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ssilieffio\AppData\Local\Microsoft\Windows\INetCache\Content.Word\newzealand governme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144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F5C">
      <w:rPr>
        <w:rFonts w:ascii="Roboto Slab" w:hAnsi="Roboto Slab"/>
        <w:b/>
        <w:color w:val="B1254E"/>
        <w:sz w:val="20"/>
        <w:lang w:val="mi-NZ"/>
      </w:rPr>
      <w:t>civildefence.govt.nz/national-disaster-resilience-strategy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64E" w:rsidRDefault="0041664E" w:rsidP="0041664E">
      <w:pPr>
        <w:spacing w:after="0" w:line="240" w:lineRule="auto"/>
      </w:pPr>
      <w:r>
        <w:separator/>
      </w:r>
    </w:p>
  </w:footnote>
  <w:footnote w:type="continuationSeparator" w:id="0">
    <w:p w:rsidR="0041664E" w:rsidRDefault="0041664E" w:rsidP="0041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E2" w:rsidRDefault="002C1DC4">
    <w:pPr>
      <w:pStyle w:val="Header"/>
    </w:pPr>
    <w:r>
      <w:rPr>
        <w:noProof/>
        <w:lang w:eastAsia="en-NZ"/>
      </w:rPr>
      <w:drawing>
        <wp:anchor distT="0" distB="0" distL="114300" distR="114300" simplePos="0" relativeHeight="251666432" behindDoc="0" locked="0" layoutInCell="1" allowOverlap="1" wp14:anchorId="4B9DCD56" wp14:editId="7FDB43DD">
          <wp:simplePos x="0" y="0"/>
          <wp:positionH relativeFrom="page">
            <wp:posOffset>360045</wp:posOffset>
          </wp:positionH>
          <wp:positionV relativeFrom="page">
            <wp:posOffset>180340</wp:posOffset>
          </wp:positionV>
          <wp:extent cx="6120000" cy="74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741600"/>
                  </a:xfrm>
                  <a:prstGeom prst="rect">
                    <a:avLst/>
                  </a:prstGeom>
                  <a:noFill/>
                </pic:spPr>
              </pic:pic>
            </a:graphicData>
          </a:graphic>
          <wp14:sizeRelH relativeFrom="page">
            <wp14:pctWidth>0</wp14:pctWidth>
          </wp14:sizeRelH>
          <wp14:sizeRelV relativeFrom="page">
            <wp14:pctHeight>0</wp14:pctHeight>
          </wp14:sizeRelV>
        </wp:anchor>
      </w:drawing>
    </w:r>
    <w:r w:rsidR="009A5EE2">
      <w:rPr>
        <w:noProof/>
        <w:lang w:eastAsia="en-NZ"/>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ragraph">
                <wp:posOffset>-440055</wp:posOffset>
              </wp:positionV>
              <wp:extent cx="7534275" cy="11334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34275" cy="11334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A0E7A9" id="Rectangle 1" o:spid="_x0000_s1026" style="position:absolute;margin-left:-71.25pt;margin-top:-34.65pt;width:593.25pt;height: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v1jgIAAIkFAAAOAAAAZHJzL2Uyb0RvYy54bWysVEtPGzEQvlfqf7B8L5sNSaERGxSBqCoh&#10;iICKs/HaWUu2x7WdbNJf37H3QUpRD1VzcDye97ffzMXl3miyEz4osBUtTyaUCMuhVnZT0e9PN5/O&#10;KQmR2ZppsKKiBxHo5fLjh4vWLcQUGtC18ASD2LBoXUWbGN2iKAJvhGHhBJywqJTgDYso+k1Re9Zi&#10;dKOL6WTyuWjB184DFyHg63WnpMscX0rB472UQUSiK4q1xXz6fL6ks1hesMXGM9co3pfB/qEKw5TF&#10;pGOoaxYZ2Xr1RyijuIcAMp5wMAVIqbjIPWA35eRNN48NcyL3guAEN8IU/l9Yfrdbe6Jq/HaUWGbw&#10;Ez0gaMxutCBlgqd1YYFWj27teyngNfW6l96kf+yC7DOkhxFSsY+E4+PZ/HQ2PZtTwlFXlqenMxQw&#10;TvHq7nyIXwUYki4V9Zg+Q8l2tyF2poNJyhZAq/pGaZ2FxBNxpT3ZMfzCjHNh47RP8JultsneQvLs&#10;gqaXInXX9ZNv8aBFstP2QUiEBTuY5mIyId8mKjtVw2rR5Z9P8DdkH0rLzeaAKbLE/GPsPsBgedxE&#10;xh5R6u2Tq8h8Hp0nfyusa3H0yJnBxtHZKAv+vQA6jpk7+wGkDpqE0gvUBySNh26aguM3Cj/dLQtx&#10;zTyODw4aroR4j4fU0FYU+hslDfif770ne2Q1ailpcRwrGn5smReU6G8W+f6lnM3S/GZhNj+bouCP&#10;NS/HGrs1V4B8QE5jdfma7KMertKDecbNsUpZUcUsx9wV5dEPwlXs1gTuHi5Wq2yGM+tYvLWPjqfg&#10;CdVEzaf9M/Ou529E6t/BMLps8YbGnW3ytLDaRpAqc/wV1x5vnPdMnH43pYVyLGer1w26/AUAAP//&#10;AwBQSwMEFAAGAAgAAAAhAAr2BOveAAAADQEAAA8AAABkcnMvZG93bnJldi54bWxMj0FPg0AQhe8m&#10;/ofNmHhrlyIlhbI0auzFeLH6AxZ2Cig7S9gtxX/vcNLbe5kvb94rDrPtxYSj7xwp2KwjEEi1Mx01&#10;Cj4/jqsdCB80Gd07QgU/6OFQ3t4UOjfuSu84nUIjOIR8rhW0IQy5lL5u0Wq/dgMS385utDqwHRtp&#10;Rn3lcNvLOIpSaXVH/KHVAz63WH+fLlbBi3Xbt69ssse4q5xMdxSeXkmp+7v5cQ8i4Bz+YFjqc3Uo&#10;uVPlLmS86BWsNkm8ZZZVmj2AWJAoSXhftagsBlkW8v+K8hcAAP//AwBQSwECLQAUAAYACAAAACEA&#10;toM4kv4AAADhAQAAEwAAAAAAAAAAAAAAAAAAAAAAW0NvbnRlbnRfVHlwZXNdLnhtbFBLAQItABQA&#10;BgAIAAAAIQA4/SH/1gAAAJQBAAALAAAAAAAAAAAAAAAAAC8BAABfcmVscy8ucmVsc1BLAQItABQA&#10;BgAIAAAAIQCcuJv1jgIAAIkFAAAOAAAAAAAAAAAAAAAAAC4CAABkcnMvZTJvRG9jLnhtbFBLAQIt&#10;ABQABgAIAAAAIQAK9gTr3gAAAA0BAAAPAAAAAAAAAAAAAAAAAOgEAABkcnMvZG93bnJldi54bWxQ&#10;SwUGAAAAAAQABADzAAAA8wUAAAAA&#10;" fillcolor="#b1254e [3205]"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D0"/>
    <w:rsid w:val="00161C5F"/>
    <w:rsid w:val="0016370E"/>
    <w:rsid w:val="002C1DC4"/>
    <w:rsid w:val="00405128"/>
    <w:rsid w:val="0041664E"/>
    <w:rsid w:val="00526773"/>
    <w:rsid w:val="005E563B"/>
    <w:rsid w:val="006514B4"/>
    <w:rsid w:val="008A2ED0"/>
    <w:rsid w:val="00977671"/>
    <w:rsid w:val="009A5EE2"/>
    <w:rsid w:val="00A50756"/>
    <w:rsid w:val="00AA2B4C"/>
    <w:rsid w:val="00B065A9"/>
    <w:rsid w:val="00B24419"/>
    <w:rsid w:val="00C728FC"/>
    <w:rsid w:val="00CC3F5C"/>
    <w:rsid w:val="00CF5E5F"/>
    <w:rsid w:val="00D05DE4"/>
    <w:rsid w:val="00E469C4"/>
    <w:rsid w:val="00EF1AA1"/>
    <w:rsid w:val="00F15429"/>
    <w:rsid w:val="00F24BA7"/>
    <w:rsid w:val="00F82B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7918D71"/>
  <w15:chartTrackingRefBased/>
  <w15:docId w15:val="{C75E1A7A-FCDB-4D78-8324-B003D9F9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next w:val="Normal"/>
    <w:uiPriority w:val="99"/>
    <w:semiHidden/>
    <w:qFormat/>
    <w:rsid w:val="00EF1AA1"/>
    <w:pPr>
      <w:pageBreakBefore/>
      <w:pBdr>
        <w:bottom w:val="single" w:sz="12" w:space="1" w:color="00ABC5" w:themeColor="accent1"/>
      </w:pBdr>
      <w:tabs>
        <w:tab w:val="left" w:pos="2127"/>
      </w:tabs>
      <w:spacing w:before="280" w:after="0" w:line="240" w:lineRule="auto"/>
      <w:contextualSpacing/>
    </w:pPr>
    <w:rPr>
      <w:rFonts w:ascii="Arial Narrow" w:eastAsia="Calibri" w:hAnsi="Arial Narrow" w:cs="Times New Roman"/>
      <w:b/>
      <w:color w:val="E7E6E6" w:themeColor="background2"/>
      <w:sz w:val="36"/>
      <w:szCs w:val="36"/>
    </w:rPr>
  </w:style>
  <w:style w:type="paragraph" w:styleId="TOC2">
    <w:name w:val="toc 2"/>
    <w:basedOn w:val="Normal"/>
    <w:next w:val="Normal"/>
    <w:autoRedefine/>
    <w:uiPriority w:val="39"/>
    <w:rsid w:val="00EF1AA1"/>
    <w:pPr>
      <w:tabs>
        <w:tab w:val="left" w:pos="993"/>
        <w:tab w:val="right" w:leader="dot" w:pos="10065"/>
      </w:tabs>
      <w:spacing w:after="0" w:line="276" w:lineRule="auto"/>
      <w:ind w:left="221" w:firstLine="204"/>
    </w:pPr>
    <w:rPr>
      <w:rFonts w:ascii="Arial" w:eastAsia="Calibri" w:hAnsi="Arial" w:cs="Times New Roman"/>
      <w:noProof/>
    </w:rPr>
  </w:style>
  <w:style w:type="paragraph" w:styleId="TOC5">
    <w:name w:val="toc 5"/>
    <w:basedOn w:val="Normal"/>
    <w:next w:val="Normal"/>
    <w:autoRedefine/>
    <w:rsid w:val="00EF1AA1"/>
    <w:pPr>
      <w:tabs>
        <w:tab w:val="left" w:pos="1701"/>
        <w:tab w:val="right" w:leader="dot" w:pos="9016"/>
      </w:tabs>
      <w:spacing w:before="120" w:after="100" w:line="276" w:lineRule="auto"/>
      <w:ind w:left="426"/>
    </w:pPr>
    <w:rPr>
      <w:rFonts w:ascii="Arial" w:eastAsia="Calibri" w:hAnsi="Arial" w:cs="Times New Roman"/>
    </w:rPr>
  </w:style>
  <w:style w:type="paragraph" w:styleId="Header">
    <w:name w:val="header"/>
    <w:basedOn w:val="Normal"/>
    <w:link w:val="HeaderChar"/>
    <w:uiPriority w:val="99"/>
    <w:unhideWhenUsed/>
    <w:rsid w:val="00416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64E"/>
  </w:style>
  <w:style w:type="paragraph" w:styleId="Footer">
    <w:name w:val="footer"/>
    <w:basedOn w:val="Normal"/>
    <w:link w:val="FooterChar"/>
    <w:uiPriority w:val="99"/>
    <w:unhideWhenUsed/>
    <w:rsid w:val="00416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DRS">
      <a:dk1>
        <a:sysClr val="windowText" lastClr="000000"/>
      </a:dk1>
      <a:lt1>
        <a:srgbClr val="FFFFFF"/>
      </a:lt1>
      <a:dk2>
        <a:srgbClr val="44546A"/>
      </a:dk2>
      <a:lt2>
        <a:srgbClr val="E7E6E6"/>
      </a:lt2>
      <a:accent1>
        <a:srgbClr val="00ABC5"/>
      </a:accent1>
      <a:accent2>
        <a:srgbClr val="B1254E"/>
      </a:accent2>
      <a:accent3>
        <a:srgbClr val="004073"/>
      </a:accent3>
      <a:accent4>
        <a:srgbClr val="00A77E"/>
      </a:accent4>
      <a:accent5>
        <a:srgbClr val="34669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DC457-1CC1-4B77-A747-CD2F9323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Canseco [DPMC]</dc:creator>
  <cp:keywords/>
  <dc:description/>
  <cp:lastModifiedBy>Jo Horrocks [DPMC]</cp:lastModifiedBy>
  <cp:revision>9</cp:revision>
  <dcterms:created xsi:type="dcterms:W3CDTF">2019-02-25T02:05:00Z</dcterms:created>
  <dcterms:modified xsi:type="dcterms:W3CDTF">2019-04-10T20:20:00Z</dcterms:modified>
</cp:coreProperties>
</file>