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035220" w:rsidP="007200A6">
      <w:pPr>
        <w:pStyle w:val="StyleLatinArialNarrow20ptBoldBackground2Before0p"/>
        <w:rPr>
          <w:rFonts w:eastAsiaTheme="majorEastAsia"/>
        </w:rPr>
      </w:pPr>
      <w:r>
        <w:rPr>
          <w:rFonts w:eastAsiaTheme="majorEastAsia"/>
        </w:rPr>
        <w:t>Quick Planning – Options Development template</w:t>
      </w:r>
      <w:r w:rsidR="007F51FB" w:rsidRPr="007F51FB">
        <w:rPr>
          <w:rFonts w:eastAsiaTheme="majorEastAsia"/>
        </w:rPr>
        <w:t xml:space="preserve"> </w:t>
      </w:r>
    </w:p>
    <w:p w:rsidR="00E47E39" w:rsidRPr="00505ED4" w:rsidRDefault="00E47E39" w:rsidP="00E47E39">
      <w:r w:rsidRPr="00505ED4">
        <w:t>This template has been developed to assist with the Options Development step of the quick planning process. It should be used to record the Planning team’s analysis and conclusions, and as an agenda for each planning meeting.</w:t>
      </w:r>
    </w:p>
    <w:p w:rsidR="00035220" w:rsidRPr="00505ED4" w:rsidRDefault="00E47E39" w:rsidP="00E47E39">
      <w:r w:rsidRPr="00505ED4">
        <w:t xml:space="preserve">The template consists of a series of questions. The aim is to </w:t>
      </w:r>
      <w:r>
        <w:t xml:space="preserve">discuss </w:t>
      </w:r>
      <w:r w:rsidRPr="00505ED4">
        <w:t>each question, recording the conclusions reached from the discussion. The final step is for the Planning Team to brief the Controller on its deductions</w:t>
      </w:r>
      <w:r>
        <w:t>.</w:t>
      </w:r>
    </w:p>
    <w:p w:rsidR="00035220" w:rsidRPr="00A33A22" w:rsidRDefault="00035220" w:rsidP="00035220">
      <w:pPr>
        <w:rPr>
          <w:highlight w:val="yellow"/>
        </w:rPr>
      </w:pPr>
    </w:p>
    <w:p w:rsidR="00035220" w:rsidRPr="000666E3" w:rsidRDefault="00035220" w:rsidP="00035220">
      <w:pPr>
        <w:pStyle w:val="HeadingAppendix9"/>
      </w:pPr>
      <w:r w:rsidRPr="000666E3">
        <w:t>Inputs</w:t>
      </w:r>
    </w:p>
    <w:p w:rsidR="00E47E39" w:rsidRPr="000666E3" w:rsidRDefault="00E47E39" w:rsidP="00E47E39">
      <w:r w:rsidRPr="000666E3">
        <w:t>The main inputs into Options Development are:</w:t>
      </w:r>
    </w:p>
    <w:p w:rsidR="00E47E39" w:rsidRPr="000666E3" w:rsidRDefault="00E47E39" w:rsidP="00E47E39">
      <w:pPr>
        <w:pStyle w:val="Tablebullet"/>
        <w:numPr>
          <w:ilvl w:val="0"/>
          <w:numId w:val="1"/>
        </w:numPr>
      </w:pPr>
      <w:r w:rsidRPr="000666E3">
        <w:t>Controller’s guidance from Objective Analysis</w:t>
      </w:r>
    </w:p>
    <w:p w:rsidR="00E47E39" w:rsidRPr="000666E3" w:rsidRDefault="00E47E39" w:rsidP="00E47E39">
      <w:pPr>
        <w:pStyle w:val="Tablebullet"/>
        <w:numPr>
          <w:ilvl w:val="0"/>
          <w:numId w:val="1"/>
        </w:numPr>
      </w:pPr>
      <w:r w:rsidRPr="000666E3">
        <w:t>Objective Analysis conclusions</w:t>
      </w:r>
    </w:p>
    <w:p w:rsidR="00E47E39" w:rsidRPr="000666E3" w:rsidRDefault="00E47E39" w:rsidP="00E47E39">
      <w:pPr>
        <w:pStyle w:val="Tablebullet"/>
        <w:numPr>
          <w:ilvl w:val="0"/>
          <w:numId w:val="1"/>
        </w:numPr>
      </w:pPr>
      <w:r w:rsidRPr="000666E3">
        <w:t>List of Information Requirements</w:t>
      </w:r>
    </w:p>
    <w:p w:rsidR="00E47E39" w:rsidRPr="008C2C1D" w:rsidRDefault="00E47E39" w:rsidP="00E47E39">
      <w:pPr>
        <w:pStyle w:val="Tablebullet"/>
        <w:numPr>
          <w:ilvl w:val="0"/>
          <w:numId w:val="1"/>
        </w:numPr>
      </w:pPr>
      <w:r>
        <w:t>Hazard and Environment Analysis (HEA)</w:t>
      </w:r>
      <w:r w:rsidRPr="008C2C1D">
        <w:t xml:space="preserve"> data</w:t>
      </w:r>
    </w:p>
    <w:p w:rsidR="00035220" w:rsidRDefault="00E47E39" w:rsidP="00E47E39">
      <w:pPr>
        <w:pStyle w:val="Tablebullet"/>
        <w:numPr>
          <w:ilvl w:val="0"/>
          <w:numId w:val="1"/>
        </w:numPr>
      </w:pPr>
      <w:r w:rsidRPr="000666E3">
        <w:t>Situation information.</w:t>
      </w:r>
    </w:p>
    <w:p w:rsidR="00035220" w:rsidRPr="000666E3" w:rsidRDefault="00035220" w:rsidP="00035220"/>
    <w:tbl>
      <w:tblPr>
        <w:tblW w:w="5000" w:type="pct"/>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740"/>
      </w:tblGrid>
      <w:tr w:rsidR="00E47E39" w:rsidRPr="00B224D1" w:rsidTr="001A7923">
        <w:trPr>
          <w:cantSplit/>
        </w:trPr>
        <w:tc>
          <w:tcPr>
            <w:tcW w:w="5000" w:type="pct"/>
            <w:shd w:val="clear" w:color="auto" w:fill="005A9B" w:themeFill="background2"/>
          </w:tcPr>
          <w:p w:rsidR="00E47E39" w:rsidRDefault="00E47E39" w:rsidP="001A7923">
            <w:pPr>
              <w:pStyle w:val="Tableheading"/>
            </w:pPr>
            <w:r>
              <w:t>Initial Action: Situation review</w:t>
            </w:r>
          </w:p>
        </w:tc>
      </w:tr>
      <w:tr w:rsidR="00E47E39" w:rsidRPr="00B224D1" w:rsidTr="001A7923">
        <w:trPr>
          <w:cantSplit/>
        </w:trPr>
        <w:tc>
          <w:tcPr>
            <w:tcW w:w="5000" w:type="pct"/>
            <w:shd w:val="clear" w:color="auto" w:fill="FFFFFF" w:themeFill="background1"/>
          </w:tcPr>
          <w:p w:rsidR="00E47E39" w:rsidRPr="00677186" w:rsidRDefault="00E47E39" w:rsidP="001A7923">
            <w:pPr>
              <w:pStyle w:val="Tablenormal0"/>
              <w:rPr>
                <w:sz w:val="20"/>
                <w:szCs w:val="20"/>
              </w:rPr>
            </w:pPr>
            <w:r w:rsidRPr="00677186">
              <w:rPr>
                <w:sz w:val="20"/>
                <w:szCs w:val="20"/>
              </w:rPr>
              <w:t>The Planning team representatives update each other on any changes in</w:t>
            </w:r>
            <w:r>
              <w:rPr>
                <w:sz w:val="20"/>
                <w:szCs w:val="20"/>
              </w:rPr>
              <w:t xml:space="preserve"> their function or agency areas:</w:t>
            </w:r>
          </w:p>
          <w:p w:rsidR="00E47E39" w:rsidRPr="00677186" w:rsidRDefault="00E47E39" w:rsidP="00E47E39">
            <w:pPr>
              <w:pStyle w:val="Tablebullet"/>
              <w:numPr>
                <w:ilvl w:val="0"/>
                <w:numId w:val="1"/>
              </w:numPr>
              <w:rPr>
                <w:sz w:val="20"/>
                <w:szCs w:val="20"/>
              </w:rPr>
            </w:pPr>
            <w:r w:rsidRPr="00677186">
              <w:rPr>
                <w:sz w:val="20"/>
                <w:szCs w:val="20"/>
              </w:rPr>
              <w:t>Planning timeline (Planning rep)</w:t>
            </w:r>
          </w:p>
          <w:p w:rsidR="00E47E39" w:rsidRPr="00677186" w:rsidRDefault="00E47E39" w:rsidP="00E47E39">
            <w:pPr>
              <w:pStyle w:val="Tablebullet"/>
              <w:numPr>
                <w:ilvl w:val="0"/>
                <w:numId w:val="1"/>
              </w:numPr>
              <w:rPr>
                <w:sz w:val="20"/>
                <w:szCs w:val="20"/>
              </w:rPr>
            </w:pPr>
            <w:r w:rsidRPr="00677186">
              <w:rPr>
                <w:sz w:val="20"/>
                <w:szCs w:val="20"/>
              </w:rPr>
              <w:t xml:space="preserve">Hazard and environment information (Intelligence rep):  </w:t>
            </w:r>
          </w:p>
          <w:p w:rsidR="00E47E39" w:rsidRPr="00677186" w:rsidRDefault="00E47E39" w:rsidP="00E47E39">
            <w:pPr>
              <w:pStyle w:val="Tablebullet"/>
              <w:numPr>
                <w:ilvl w:val="0"/>
                <w:numId w:val="1"/>
              </w:numPr>
              <w:rPr>
                <w:sz w:val="20"/>
                <w:szCs w:val="20"/>
              </w:rPr>
            </w:pPr>
            <w:r w:rsidRPr="00677186">
              <w:rPr>
                <w:sz w:val="20"/>
                <w:szCs w:val="20"/>
              </w:rPr>
              <w:t xml:space="preserve">Response situation changes (Operations/Welfare reps):  </w:t>
            </w:r>
          </w:p>
          <w:p w:rsidR="00E47E39" w:rsidRPr="00677186" w:rsidRDefault="00E47E39" w:rsidP="00E47E39">
            <w:pPr>
              <w:pStyle w:val="Tablebullet"/>
              <w:numPr>
                <w:ilvl w:val="0"/>
                <w:numId w:val="1"/>
              </w:numPr>
              <w:rPr>
                <w:sz w:val="20"/>
                <w:szCs w:val="20"/>
              </w:rPr>
            </w:pPr>
            <w:r w:rsidRPr="00677186">
              <w:rPr>
                <w:sz w:val="20"/>
                <w:szCs w:val="20"/>
              </w:rPr>
              <w:t xml:space="preserve">Resource changes (Logistics rep and Liaison Officers):  </w:t>
            </w:r>
          </w:p>
          <w:p w:rsidR="00E47E39" w:rsidRPr="00677186" w:rsidRDefault="00E47E39" w:rsidP="00E47E39">
            <w:pPr>
              <w:pStyle w:val="Tablebullet"/>
              <w:numPr>
                <w:ilvl w:val="0"/>
                <w:numId w:val="1"/>
              </w:numPr>
              <w:rPr>
                <w:sz w:val="20"/>
                <w:szCs w:val="20"/>
              </w:rPr>
            </w:pPr>
            <w:r w:rsidRPr="00677186">
              <w:rPr>
                <w:sz w:val="20"/>
                <w:szCs w:val="20"/>
              </w:rPr>
              <w:t>Media changes (PIM rep)</w:t>
            </w:r>
          </w:p>
          <w:p w:rsidR="00E47E39" w:rsidRPr="00677186" w:rsidRDefault="00E47E39" w:rsidP="00E47E39">
            <w:pPr>
              <w:pStyle w:val="Tablebullet"/>
              <w:numPr>
                <w:ilvl w:val="0"/>
                <w:numId w:val="1"/>
              </w:numPr>
              <w:rPr>
                <w:sz w:val="20"/>
                <w:szCs w:val="20"/>
              </w:rPr>
            </w:pPr>
            <w:r w:rsidRPr="00677186">
              <w:rPr>
                <w:sz w:val="20"/>
                <w:szCs w:val="20"/>
              </w:rPr>
              <w:t>Agency updates (Liaison Officers)</w:t>
            </w:r>
          </w:p>
          <w:p w:rsidR="00E47E39" w:rsidRPr="00505ED4" w:rsidRDefault="00E47E39" w:rsidP="001A7923">
            <w:pPr>
              <w:pStyle w:val="Tableheading"/>
              <w:rPr>
                <w:color w:val="auto"/>
              </w:rPr>
            </w:pPr>
          </w:p>
        </w:tc>
      </w:tr>
      <w:tr w:rsidR="00E47E39" w:rsidRPr="00B224D1" w:rsidTr="001A7923">
        <w:trPr>
          <w:cantSplit/>
        </w:trPr>
        <w:tc>
          <w:tcPr>
            <w:tcW w:w="5000" w:type="pct"/>
            <w:shd w:val="clear" w:color="auto" w:fill="005A9B" w:themeFill="background2"/>
          </w:tcPr>
          <w:p w:rsidR="00E47E39" w:rsidRPr="000666E3" w:rsidRDefault="00E47E39" w:rsidP="001A7923">
            <w:pPr>
              <w:pStyle w:val="Tableheading"/>
              <w:rPr>
                <w:rFonts w:cs="Arial"/>
              </w:rPr>
            </w:pPr>
            <w:r>
              <w:t xml:space="preserve">Question 5:  </w:t>
            </w:r>
            <w:r w:rsidRPr="000666E3">
              <w:t>Where can we best accomplish each task?</w:t>
            </w:r>
          </w:p>
        </w:tc>
      </w:tr>
      <w:tr w:rsidR="00E47E39" w:rsidRPr="008C2C1D" w:rsidTr="001A7923">
        <w:trPr>
          <w:cantSplit/>
        </w:trPr>
        <w:tc>
          <w:tcPr>
            <w:tcW w:w="5000" w:type="pct"/>
            <w:shd w:val="clear" w:color="auto" w:fill="auto"/>
          </w:tcPr>
          <w:p w:rsidR="00E47E39" w:rsidRPr="00677186" w:rsidRDefault="00E47E39" w:rsidP="00E47E39">
            <w:pPr>
              <w:pStyle w:val="Tablebullet"/>
              <w:numPr>
                <w:ilvl w:val="0"/>
                <w:numId w:val="1"/>
              </w:numPr>
              <w:rPr>
                <w:sz w:val="20"/>
                <w:szCs w:val="20"/>
              </w:rPr>
            </w:pPr>
            <w:r>
              <w:rPr>
                <w:sz w:val="20"/>
                <w:szCs w:val="20"/>
              </w:rPr>
              <w:t>For each broad response option, g</w:t>
            </w:r>
            <w:r w:rsidRPr="00677186">
              <w:rPr>
                <w:sz w:val="20"/>
                <w:szCs w:val="20"/>
              </w:rPr>
              <w:t>o over the list of tasks and determine where each task can be best accomplished</w:t>
            </w:r>
          </w:p>
          <w:p w:rsidR="00E47E39" w:rsidRPr="00677186" w:rsidRDefault="00E47E39" w:rsidP="001A7923">
            <w:pPr>
              <w:pStyle w:val="Tablenormal0"/>
              <w:rPr>
                <w:sz w:val="20"/>
                <w:szCs w:val="20"/>
              </w:rPr>
            </w:pPr>
          </w:p>
          <w:p w:rsidR="00E47E39" w:rsidRDefault="00E47E39" w:rsidP="001A7923">
            <w:pPr>
              <w:pStyle w:val="Tablenormal0"/>
              <w:rPr>
                <w:sz w:val="20"/>
                <w:szCs w:val="20"/>
              </w:rPr>
            </w:pPr>
          </w:p>
          <w:p w:rsidR="00E47E39" w:rsidRDefault="00E47E39" w:rsidP="001A7923">
            <w:pPr>
              <w:pStyle w:val="Tablenormal0"/>
              <w:rPr>
                <w:sz w:val="20"/>
                <w:szCs w:val="20"/>
              </w:rPr>
            </w:pPr>
          </w:p>
          <w:p w:rsidR="00E47E39" w:rsidRPr="00677186" w:rsidRDefault="00E47E39" w:rsidP="001A7923">
            <w:pPr>
              <w:pStyle w:val="Tablenormal0"/>
              <w:rPr>
                <w:sz w:val="20"/>
                <w:szCs w:val="20"/>
              </w:rPr>
            </w:pPr>
          </w:p>
          <w:p w:rsidR="00E47E39" w:rsidRPr="00677186" w:rsidRDefault="00E47E39" w:rsidP="001A7923">
            <w:pPr>
              <w:pStyle w:val="Tablenormal0"/>
              <w:rPr>
                <w:sz w:val="20"/>
                <w:szCs w:val="20"/>
              </w:rPr>
            </w:pPr>
          </w:p>
          <w:p w:rsidR="00E47E39" w:rsidRPr="00677186" w:rsidRDefault="00E47E39" w:rsidP="00E47E39">
            <w:pPr>
              <w:pStyle w:val="Tablebullet"/>
              <w:numPr>
                <w:ilvl w:val="0"/>
                <w:numId w:val="1"/>
              </w:numPr>
              <w:rPr>
                <w:sz w:val="20"/>
                <w:szCs w:val="20"/>
              </w:rPr>
            </w:pPr>
            <w:r w:rsidRPr="00677186">
              <w:rPr>
                <w:sz w:val="20"/>
                <w:szCs w:val="20"/>
              </w:rPr>
              <w:t>For those that don’t require a physical location, put them to one side for now.</w:t>
            </w:r>
          </w:p>
          <w:p w:rsidR="00E47E39" w:rsidRPr="00677186" w:rsidRDefault="00E47E39" w:rsidP="001A7923">
            <w:pPr>
              <w:pStyle w:val="Tablenormal0"/>
              <w:rPr>
                <w:sz w:val="20"/>
                <w:szCs w:val="20"/>
              </w:rPr>
            </w:pPr>
          </w:p>
          <w:p w:rsidR="00E47E39" w:rsidRPr="00677186" w:rsidRDefault="00E47E39" w:rsidP="001A7923">
            <w:pPr>
              <w:pStyle w:val="Tablenormal0"/>
              <w:rPr>
                <w:sz w:val="20"/>
                <w:szCs w:val="20"/>
              </w:rPr>
            </w:pPr>
            <w:r w:rsidRPr="00677186">
              <w:rPr>
                <w:sz w:val="20"/>
                <w:szCs w:val="20"/>
              </w:rPr>
              <w:t xml:space="preserve">At this stage, the broad response options developed in Objective Analysis can start to be drafted using the </w:t>
            </w:r>
            <w:r w:rsidRPr="00677186">
              <w:rPr>
                <w:sz w:val="20"/>
                <w:szCs w:val="20"/>
                <w:lang w:eastAsia="en-NZ"/>
              </w:rPr>
              <w:t xml:space="preserve">option statements </w:t>
            </w:r>
            <w:r w:rsidRPr="00677186">
              <w:rPr>
                <w:sz w:val="20"/>
                <w:szCs w:val="20"/>
              </w:rPr>
              <w:t xml:space="preserve">found </w:t>
            </w:r>
            <w:r w:rsidRPr="00677186">
              <w:rPr>
                <w:sz w:val="20"/>
                <w:szCs w:val="20"/>
                <w:lang w:eastAsia="en-NZ"/>
              </w:rPr>
              <w:t xml:space="preserve">in </w:t>
            </w:r>
            <w:fldSimple w:instr=" REF appendixtemplates \n \h  \* MERGEFORMAT ">
              <w:r>
                <w:rPr>
                  <w:sz w:val="20"/>
                  <w:szCs w:val="20"/>
                  <w:lang w:eastAsia="en-NZ"/>
                </w:rPr>
                <w:t>Appendix C</w:t>
              </w:r>
            </w:fldSimple>
            <w:r w:rsidRPr="00677186">
              <w:rPr>
                <w:sz w:val="20"/>
                <w:szCs w:val="20"/>
              </w:rPr>
              <w:t xml:space="preserve"> </w:t>
            </w:r>
            <w:fldSimple w:instr=" REF appendixoptionsketchtemplate \h  \* MERGEFORMAT ">
              <w:r w:rsidRPr="00145473">
                <w:rPr>
                  <w:rStyle w:val="CrossreferenceChar"/>
                  <w:sz w:val="20"/>
                  <w:szCs w:val="20"/>
                </w:rPr>
                <w:t>Option Statement Template</w:t>
              </w:r>
            </w:fldSimple>
            <w:r w:rsidRPr="00677186">
              <w:rPr>
                <w:sz w:val="20"/>
                <w:szCs w:val="20"/>
              </w:rPr>
              <w:t xml:space="preserve"> on page </w:t>
            </w:r>
            <w:r w:rsidR="00722741" w:rsidRPr="00677186">
              <w:rPr>
                <w:sz w:val="20"/>
                <w:szCs w:val="20"/>
              </w:rPr>
              <w:fldChar w:fldCharType="begin"/>
            </w:r>
            <w:r w:rsidRPr="00677186">
              <w:rPr>
                <w:sz w:val="20"/>
                <w:szCs w:val="20"/>
              </w:rPr>
              <w:instrText xml:space="preserve"> PAGEREF appendixoptionsketchtemplate \h </w:instrText>
            </w:r>
            <w:r w:rsidR="00722741" w:rsidRPr="00677186">
              <w:rPr>
                <w:sz w:val="20"/>
                <w:szCs w:val="20"/>
              </w:rPr>
            </w:r>
            <w:r w:rsidR="00722741" w:rsidRPr="00677186">
              <w:rPr>
                <w:sz w:val="20"/>
                <w:szCs w:val="20"/>
              </w:rPr>
              <w:fldChar w:fldCharType="separate"/>
            </w:r>
            <w:r>
              <w:rPr>
                <w:noProof/>
                <w:sz w:val="20"/>
                <w:szCs w:val="20"/>
              </w:rPr>
              <w:t>129</w:t>
            </w:r>
            <w:r w:rsidR="00722741" w:rsidRPr="00677186">
              <w:rPr>
                <w:sz w:val="20"/>
                <w:szCs w:val="20"/>
              </w:rPr>
              <w:fldChar w:fldCharType="end"/>
            </w:r>
            <w:r w:rsidRPr="00677186">
              <w:rPr>
                <w:sz w:val="20"/>
                <w:szCs w:val="20"/>
              </w:rPr>
              <w:t>.</w:t>
            </w:r>
          </w:p>
          <w:p w:rsidR="00E47E39" w:rsidRPr="00677186" w:rsidRDefault="00E47E39" w:rsidP="001A7923">
            <w:pPr>
              <w:pStyle w:val="Tablenormal0"/>
              <w:rPr>
                <w:rFonts w:cs="Arial"/>
                <w:sz w:val="20"/>
                <w:szCs w:val="20"/>
                <w:highlight w:val="yellow"/>
                <w:u w:val="single"/>
              </w:rPr>
            </w:pPr>
          </w:p>
        </w:tc>
      </w:tr>
      <w:tr w:rsidR="00E47E39" w:rsidRPr="008C2C1D" w:rsidTr="001A7923">
        <w:trPr>
          <w:cantSplit/>
        </w:trPr>
        <w:tc>
          <w:tcPr>
            <w:tcW w:w="5000" w:type="pct"/>
            <w:shd w:val="clear" w:color="auto" w:fill="auto"/>
          </w:tcPr>
          <w:p w:rsidR="00E47E39" w:rsidRPr="00677186" w:rsidRDefault="00E47E39" w:rsidP="001A7923">
            <w:pPr>
              <w:pStyle w:val="Tablenormal0"/>
              <w:rPr>
                <w:color w:val="005A96"/>
                <w:sz w:val="20"/>
                <w:szCs w:val="20"/>
              </w:rPr>
            </w:pPr>
            <w:r w:rsidRPr="00677186">
              <w:rPr>
                <w:color w:val="005A96"/>
                <w:sz w:val="20"/>
                <w:szCs w:val="20"/>
              </w:rPr>
              <w:t>Key outputs: Draft option statements</w:t>
            </w:r>
          </w:p>
          <w:p w:rsidR="00E47E39" w:rsidRPr="00677186" w:rsidRDefault="00E47E39" w:rsidP="001A7923">
            <w:pPr>
              <w:pStyle w:val="Tablenormal0"/>
              <w:rPr>
                <w:sz w:val="20"/>
                <w:szCs w:val="20"/>
              </w:rPr>
            </w:pPr>
          </w:p>
        </w:tc>
      </w:tr>
    </w:tbl>
    <w:p w:rsidR="00035220" w:rsidRDefault="00035220" w:rsidP="00035220">
      <w:r>
        <w:rPr>
          <w:b/>
        </w:rPr>
        <w:br w:type="page"/>
      </w:r>
    </w:p>
    <w:p w:rsidR="00035220" w:rsidRDefault="00035220" w:rsidP="00035220"/>
    <w:tbl>
      <w:tblPr>
        <w:tblW w:w="5000" w:type="pct"/>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740"/>
      </w:tblGrid>
      <w:tr w:rsidR="00E47E39" w:rsidRPr="00B224D1" w:rsidTr="001A7923">
        <w:trPr>
          <w:cantSplit/>
        </w:trPr>
        <w:tc>
          <w:tcPr>
            <w:tcW w:w="5000" w:type="pct"/>
            <w:shd w:val="clear" w:color="auto" w:fill="005A9B" w:themeFill="background2"/>
          </w:tcPr>
          <w:p w:rsidR="00E47E39" w:rsidRPr="00A33A22" w:rsidRDefault="00E47E39" w:rsidP="001A7923">
            <w:pPr>
              <w:pStyle w:val="Tableheading"/>
              <w:rPr>
                <w:rFonts w:cs="Arial"/>
                <w:highlight w:val="yellow"/>
              </w:rPr>
            </w:pPr>
            <w:r>
              <w:t>Question 6</w:t>
            </w:r>
            <w:r w:rsidRPr="00E7219C">
              <w:t xml:space="preserve">:  </w:t>
            </w:r>
            <w:r>
              <w:t>What resources are available, and what do we need to accomplish each task?</w:t>
            </w:r>
          </w:p>
        </w:tc>
      </w:tr>
      <w:tr w:rsidR="00E47E39" w:rsidRPr="00741686" w:rsidTr="001A7923">
        <w:trPr>
          <w:cantSplit/>
        </w:trPr>
        <w:tc>
          <w:tcPr>
            <w:tcW w:w="5000" w:type="pct"/>
            <w:shd w:val="clear" w:color="auto" w:fill="auto"/>
          </w:tcPr>
          <w:p w:rsidR="00E47E39" w:rsidRPr="00677186" w:rsidRDefault="00E47E39" w:rsidP="00E47E39">
            <w:pPr>
              <w:pStyle w:val="Tablebullet"/>
              <w:numPr>
                <w:ilvl w:val="0"/>
                <w:numId w:val="1"/>
              </w:numPr>
              <w:rPr>
                <w:sz w:val="20"/>
                <w:szCs w:val="20"/>
                <w:lang w:eastAsia="en-NZ"/>
              </w:rPr>
            </w:pPr>
            <w:r w:rsidRPr="00677186">
              <w:rPr>
                <w:sz w:val="20"/>
                <w:szCs w:val="20"/>
                <w:lang w:eastAsia="en-NZ"/>
              </w:rPr>
              <w:t xml:space="preserve">Determine what resources are available for the response, either immediately, or within a useful timeframe. </w:t>
            </w:r>
          </w:p>
          <w:p w:rsidR="00E47E39" w:rsidRPr="00677186" w:rsidRDefault="00E47E39" w:rsidP="001A7923">
            <w:pPr>
              <w:pStyle w:val="Tablenormal0"/>
              <w:rPr>
                <w:sz w:val="20"/>
                <w:szCs w:val="20"/>
                <w:lang w:eastAsia="en-NZ"/>
              </w:rPr>
            </w:pPr>
          </w:p>
          <w:p w:rsidR="00E47E39" w:rsidRPr="00677186" w:rsidRDefault="00E47E39" w:rsidP="00E47E39">
            <w:pPr>
              <w:pStyle w:val="Tablebullet"/>
              <w:numPr>
                <w:ilvl w:val="0"/>
                <w:numId w:val="1"/>
              </w:numPr>
              <w:rPr>
                <w:sz w:val="20"/>
                <w:szCs w:val="20"/>
                <w:lang w:eastAsia="en-NZ"/>
              </w:rPr>
            </w:pPr>
            <w:r w:rsidRPr="00677186">
              <w:rPr>
                <w:sz w:val="20"/>
                <w:szCs w:val="20"/>
                <w:lang w:eastAsia="en-NZ"/>
              </w:rPr>
              <w:t xml:space="preserve">Determine what resources are needed to accomplish each task. </w:t>
            </w:r>
          </w:p>
          <w:p w:rsidR="00E47E39" w:rsidRPr="00677186" w:rsidRDefault="00E47E39" w:rsidP="001A7923">
            <w:pPr>
              <w:pStyle w:val="ListParagraph"/>
              <w:rPr>
                <w:sz w:val="20"/>
                <w:szCs w:val="20"/>
                <w:lang w:eastAsia="en-NZ"/>
              </w:rPr>
            </w:pPr>
          </w:p>
          <w:p w:rsidR="00E47E39" w:rsidRPr="00677186" w:rsidRDefault="00E47E39" w:rsidP="001A7923">
            <w:pPr>
              <w:pStyle w:val="Tablebullet"/>
              <w:numPr>
                <w:ilvl w:val="0"/>
                <w:numId w:val="0"/>
              </w:numPr>
              <w:rPr>
                <w:sz w:val="20"/>
                <w:szCs w:val="20"/>
                <w:lang w:eastAsia="en-NZ"/>
              </w:rPr>
            </w:pPr>
            <w:r w:rsidRPr="00677186">
              <w:rPr>
                <w:sz w:val="20"/>
                <w:szCs w:val="20"/>
                <w:lang w:eastAsia="en-NZ"/>
              </w:rPr>
              <w:t>Any resource shortfalls can be resolved by sequencing the use of a resource (in the next step), by issuing Resource Requests or by deciding not to carry out a particular task.</w:t>
            </w:r>
          </w:p>
          <w:p w:rsidR="00E47E39" w:rsidRPr="00677186" w:rsidRDefault="00E47E39" w:rsidP="001A7923">
            <w:pPr>
              <w:pStyle w:val="Tablenormal0"/>
              <w:rPr>
                <w:sz w:val="20"/>
                <w:szCs w:val="20"/>
                <w:lang w:eastAsia="en-NZ"/>
              </w:rPr>
            </w:pPr>
            <w:r w:rsidRPr="00677186">
              <w:rPr>
                <w:sz w:val="20"/>
                <w:szCs w:val="20"/>
                <w:lang w:eastAsia="en-NZ"/>
              </w:rPr>
              <w:t>The draft option statements developed in Question 5</w:t>
            </w:r>
            <w:r>
              <w:rPr>
                <w:sz w:val="20"/>
                <w:szCs w:val="20"/>
                <w:lang w:eastAsia="en-NZ"/>
              </w:rPr>
              <w:t xml:space="preserve"> </w:t>
            </w:r>
            <w:r w:rsidRPr="00677186">
              <w:rPr>
                <w:sz w:val="20"/>
                <w:szCs w:val="20"/>
                <w:lang w:eastAsia="en-NZ"/>
              </w:rPr>
              <w:t>can be updated.</w:t>
            </w:r>
          </w:p>
          <w:p w:rsidR="00E47E39" w:rsidRPr="00677186" w:rsidRDefault="00E47E39" w:rsidP="001A7923">
            <w:pPr>
              <w:pStyle w:val="Tablenormal0"/>
              <w:rPr>
                <w:rFonts w:cs="Arial"/>
                <w:sz w:val="20"/>
                <w:szCs w:val="20"/>
                <w:highlight w:val="yellow"/>
              </w:rPr>
            </w:pPr>
          </w:p>
        </w:tc>
      </w:tr>
      <w:tr w:rsidR="00E47E39" w:rsidRPr="00741686" w:rsidTr="001A7923">
        <w:trPr>
          <w:cantSplit/>
        </w:trPr>
        <w:tc>
          <w:tcPr>
            <w:tcW w:w="5000" w:type="pct"/>
            <w:shd w:val="clear" w:color="auto" w:fill="auto"/>
          </w:tcPr>
          <w:p w:rsidR="00E47E39" w:rsidRPr="00677186" w:rsidRDefault="00E47E39" w:rsidP="001A7923">
            <w:pPr>
              <w:pStyle w:val="Tablenormal0"/>
              <w:rPr>
                <w:color w:val="005A96"/>
                <w:sz w:val="20"/>
                <w:szCs w:val="20"/>
              </w:rPr>
            </w:pPr>
            <w:r w:rsidRPr="00677186">
              <w:rPr>
                <w:color w:val="005A96"/>
                <w:sz w:val="20"/>
                <w:szCs w:val="20"/>
              </w:rPr>
              <w:t>Key outputs: Assigned resources</w:t>
            </w:r>
          </w:p>
          <w:p w:rsidR="00E47E39" w:rsidRPr="00677186" w:rsidRDefault="00E47E39" w:rsidP="001A7923">
            <w:pPr>
              <w:pStyle w:val="Tablenormal0"/>
              <w:rPr>
                <w:rFonts w:cs="Arial"/>
                <w:sz w:val="20"/>
                <w:szCs w:val="20"/>
                <w:highlight w:val="yellow"/>
              </w:rPr>
            </w:pPr>
          </w:p>
        </w:tc>
      </w:tr>
      <w:tr w:rsidR="00E47E39" w:rsidRPr="00741686" w:rsidTr="001A7923">
        <w:trPr>
          <w:cantSplit/>
        </w:trPr>
        <w:tc>
          <w:tcPr>
            <w:tcW w:w="5000" w:type="pct"/>
            <w:shd w:val="clear" w:color="auto" w:fill="005A9B" w:themeFill="background2"/>
          </w:tcPr>
          <w:p w:rsidR="00E47E39" w:rsidRPr="00661967" w:rsidRDefault="00E47E39" w:rsidP="001A7923">
            <w:pPr>
              <w:pStyle w:val="Tablenormal0"/>
              <w:rPr>
                <w:rFonts w:cs="Arial"/>
              </w:rPr>
            </w:pPr>
            <w:r w:rsidRPr="00661967">
              <w:rPr>
                <w:b/>
                <w:color w:val="FFFFFF"/>
              </w:rPr>
              <w:t>Question 7:   When and where do the actions take place in relation to each other?</w:t>
            </w:r>
          </w:p>
        </w:tc>
      </w:tr>
      <w:tr w:rsidR="00E47E39" w:rsidRPr="00741686" w:rsidTr="001A7923">
        <w:trPr>
          <w:cantSplit/>
        </w:trPr>
        <w:tc>
          <w:tcPr>
            <w:tcW w:w="5000" w:type="pct"/>
            <w:shd w:val="clear" w:color="auto" w:fill="auto"/>
          </w:tcPr>
          <w:p w:rsidR="00E47E39" w:rsidRPr="00677186" w:rsidRDefault="00E47E39" w:rsidP="00E47E39">
            <w:pPr>
              <w:pStyle w:val="Tablebullet"/>
              <w:numPr>
                <w:ilvl w:val="0"/>
                <w:numId w:val="1"/>
              </w:numPr>
              <w:rPr>
                <w:sz w:val="20"/>
                <w:szCs w:val="20"/>
                <w:lang w:eastAsia="en-NZ"/>
              </w:rPr>
            </w:pPr>
            <w:r w:rsidRPr="00677186">
              <w:rPr>
                <w:sz w:val="20"/>
                <w:szCs w:val="20"/>
                <w:lang w:eastAsia="en-NZ"/>
              </w:rPr>
              <w:t>Determine where and when tasks and response actions take place, in a logical sequence.</w:t>
            </w:r>
          </w:p>
          <w:p w:rsidR="00E47E39" w:rsidRPr="00677186" w:rsidRDefault="00E47E39" w:rsidP="001A7923">
            <w:pPr>
              <w:pStyle w:val="Tablenormal0"/>
              <w:rPr>
                <w:sz w:val="20"/>
                <w:szCs w:val="20"/>
                <w:lang w:eastAsia="en-NZ"/>
              </w:rPr>
            </w:pPr>
          </w:p>
          <w:p w:rsidR="00E47E39" w:rsidRPr="00677186" w:rsidRDefault="00E47E39" w:rsidP="00E47E39">
            <w:pPr>
              <w:pStyle w:val="Tablebullet"/>
              <w:numPr>
                <w:ilvl w:val="0"/>
                <w:numId w:val="1"/>
              </w:numPr>
              <w:rPr>
                <w:sz w:val="20"/>
                <w:szCs w:val="20"/>
                <w:lang w:eastAsia="en-NZ"/>
              </w:rPr>
            </w:pPr>
            <w:r w:rsidRPr="00677186">
              <w:rPr>
                <w:sz w:val="20"/>
                <w:szCs w:val="20"/>
                <w:lang w:eastAsia="en-NZ"/>
              </w:rPr>
              <w:t>Determine which of the resource shortfalls identified at Question 6 can be met by sequencing the use of resources, or by deleting the task. The other shortfalls will require Resource Requests to be issued.</w:t>
            </w:r>
          </w:p>
          <w:p w:rsidR="00E47E39" w:rsidRPr="00677186" w:rsidRDefault="00E47E39" w:rsidP="001A7923">
            <w:pPr>
              <w:rPr>
                <w:sz w:val="20"/>
                <w:szCs w:val="20"/>
                <w:lang w:eastAsia="en-NZ"/>
              </w:rPr>
            </w:pPr>
          </w:p>
          <w:p w:rsidR="00E47E39" w:rsidRPr="00677186" w:rsidRDefault="00E47E39" w:rsidP="00E47E39">
            <w:pPr>
              <w:pStyle w:val="Tablebullet"/>
              <w:numPr>
                <w:ilvl w:val="0"/>
                <w:numId w:val="1"/>
              </w:numPr>
              <w:rPr>
                <w:sz w:val="20"/>
                <w:szCs w:val="20"/>
                <w:lang w:eastAsia="en-NZ"/>
              </w:rPr>
            </w:pPr>
            <w:r w:rsidRPr="00677186">
              <w:rPr>
                <w:sz w:val="20"/>
                <w:szCs w:val="20"/>
                <w:lang w:eastAsia="en-NZ"/>
              </w:rPr>
              <w:t>Update response option statements. The Logistics rep should determine how each of the response options will be supported. The PIM rep will develop key messages for each one.</w:t>
            </w:r>
          </w:p>
          <w:p w:rsidR="00E47E39" w:rsidRPr="00677186" w:rsidRDefault="00E47E39" w:rsidP="001A7923">
            <w:pPr>
              <w:pStyle w:val="Tablenumbering"/>
              <w:numPr>
                <w:ilvl w:val="0"/>
                <w:numId w:val="0"/>
              </w:numPr>
              <w:rPr>
                <w:sz w:val="20"/>
                <w:szCs w:val="20"/>
              </w:rPr>
            </w:pPr>
          </w:p>
        </w:tc>
      </w:tr>
      <w:tr w:rsidR="00E47E39" w:rsidRPr="00741686" w:rsidTr="001A7923">
        <w:trPr>
          <w:cantSplit/>
        </w:trPr>
        <w:tc>
          <w:tcPr>
            <w:tcW w:w="5000" w:type="pct"/>
            <w:shd w:val="clear" w:color="auto" w:fill="auto"/>
          </w:tcPr>
          <w:p w:rsidR="00E47E39" w:rsidRPr="00677186" w:rsidRDefault="00E47E39" w:rsidP="001A7923">
            <w:pPr>
              <w:pStyle w:val="Tablenumbering"/>
              <w:numPr>
                <w:ilvl w:val="0"/>
                <w:numId w:val="0"/>
              </w:numPr>
              <w:rPr>
                <w:color w:val="005A96"/>
                <w:sz w:val="20"/>
                <w:szCs w:val="20"/>
              </w:rPr>
            </w:pPr>
            <w:r w:rsidRPr="00677186">
              <w:rPr>
                <w:color w:val="005A96"/>
                <w:sz w:val="20"/>
                <w:szCs w:val="20"/>
              </w:rPr>
              <w:t xml:space="preserve">Key outputs: </w:t>
            </w:r>
            <w:r>
              <w:rPr>
                <w:color w:val="005A96"/>
                <w:sz w:val="20"/>
                <w:szCs w:val="20"/>
              </w:rPr>
              <w:t>Updated</w:t>
            </w:r>
            <w:r w:rsidRPr="00677186">
              <w:rPr>
                <w:color w:val="005A96"/>
                <w:sz w:val="20"/>
                <w:szCs w:val="20"/>
              </w:rPr>
              <w:t xml:space="preserve"> response option statements, timeline, Resource Requests</w:t>
            </w:r>
          </w:p>
          <w:p w:rsidR="00E47E39" w:rsidRPr="00677186" w:rsidRDefault="00E47E39" w:rsidP="001A7923">
            <w:pPr>
              <w:pStyle w:val="Tablenumbering"/>
              <w:numPr>
                <w:ilvl w:val="0"/>
                <w:numId w:val="0"/>
              </w:numPr>
              <w:rPr>
                <w:sz w:val="20"/>
                <w:szCs w:val="20"/>
              </w:rPr>
            </w:pPr>
          </w:p>
          <w:p w:rsidR="00E47E39" w:rsidRPr="00677186" w:rsidRDefault="00E47E39" w:rsidP="001A7923">
            <w:pPr>
              <w:pStyle w:val="Tablenumbering"/>
              <w:numPr>
                <w:ilvl w:val="0"/>
                <w:numId w:val="0"/>
              </w:numPr>
              <w:rPr>
                <w:sz w:val="20"/>
                <w:szCs w:val="20"/>
              </w:rPr>
            </w:pPr>
          </w:p>
        </w:tc>
      </w:tr>
      <w:tr w:rsidR="00E47E39" w:rsidRPr="00741686" w:rsidTr="001A7923">
        <w:trPr>
          <w:cantSplit/>
        </w:trPr>
        <w:tc>
          <w:tcPr>
            <w:tcW w:w="5000" w:type="pct"/>
            <w:shd w:val="clear" w:color="auto" w:fill="005A9B" w:themeFill="background2"/>
          </w:tcPr>
          <w:p w:rsidR="00E47E39" w:rsidRPr="00661967" w:rsidRDefault="00E47E39" w:rsidP="001A7923">
            <w:pPr>
              <w:pStyle w:val="Tableheading"/>
              <w:rPr>
                <w:sz w:val="20"/>
              </w:rPr>
            </w:pPr>
            <w:r w:rsidRPr="00661967">
              <w:t xml:space="preserve">Final Step:  Brief Controller  </w:t>
            </w:r>
          </w:p>
        </w:tc>
      </w:tr>
      <w:tr w:rsidR="00E47E39" w:rsidRPr="00AD6C69" w:rsidTr="001A7923">
        <w:trPr>
          <w:cantSplit/>
          <w:trHeight w:val="370"/>
        </w:trPr>
        <w:tc>
          <w:tcPr>
            <w:tcW w:w="5000" w:type="pct"/>
            <w:shd w:val="clear" w:color="auto" w:fill="auto"/>
          </w:tcPr>
          <w:p w:rsidR="00E47E39" w:rsidRPr="00677186" w:rsidRDefault="00E47E39" w:rsidP="001A7923">
            <w:pPr>
              <w:pStyle w:val="Tablenormal0"/>
              <w:rPr>
                <w:sz w:val="20"/>
                <w:szCs w:val="20"/>
              </w:rPr>
            </w:pPr>
            <w:r w:rsidRPr="00677186">
              <w:rPr>
                <w:sz w:val="20"/>
                <w:szCs w:val="20"/>
              </w:rPr>
              <w:t>This step is only necessary if the Controller has not been part of the discussion. Prepare an Options Development briefing for the Controller, in order to confirm the deductions made. The bri</w:t>
            </w:r>
            <w:r>
              <w:rPr>
                <w:sz w:val="20"/>
                <w:szCs w:val="20"/>
              </w:rPr>
              <w:t>efing should proceed as follows:</w:t>
            </w:r>
          </w:p>
          <w:p w:rsidR="00E47E39" w:rsidRPr="00677186" w:rsidRDefault="00E47E39" w:rsidP="001A7923">
            <w:pPr>
              <w:pStyle w:val="Tablenormal0"/>
              <w:rPr>
                <w:sz w:val="20"/>
                <w:szCs w:val="20"/>
              </w:rPr>
            </w:pPr>
          </w:p>
          <w:tbl>
            <w:tblPr>
              <w:tblStyle w:val="TableGrid"/>
              <w:tblW w:w="9214" w:type="dxa"/>
              <w:tblInd w:w="137"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4A0"/>
            </w:tblPr>
            <w:tblGrid>
              <w:gridCol w:w="6516"/>
              <w:gridCol w:w="2698"/>
            </w:tblGrid>
            <w:tr w:rsidR="00E47E39" w:rsidRPr="00677186" w:rsidTr="001A7923">
              <w:tc>
                <w:tcPr>
                  <w:tcW w:w="6516" w:type="dxa"/>
                  <w:shd w:val="clear" w:color="auto" w:fill="AFAFAF" w:themeFill="accent1"/>
                </w:tcPr>
                <w:p w:rsidR="00E47E39" w:rsidRPr="00677186" w:rsidRDefault="00E47E39" w:rsidP="001A7923">
                  <w:pPr>
                    <w:pStyle w:val="Tableheading"/>
                    <w:rPr>
                      <w:sz w:val="20"/>
                      <w:szCs w:val="20"/>
                    </w:rPr>
                  </w:pPr>
                  <w:r w:rsidRPr="00677186">
                    <w:rPr>
                      <w:sz w:val="20"/>
                      <w:szCs w:val="20"/>
                    </w:rPr>
                    <w:t>Subject</w:t>
                  </w:r>
                </w:p>
              </w:tc>
              <w:tc>
                <w:tcPr>
                  <w:tcW w:w="2698" w:type="dxa"/>
                  <w:shd w:val="clear" w:color="auto" w:fill="AFAFAF" w:themeFill="accent1"/>
                </w:tcPr>
                <w:p w:rsidR="00E47E39" w:rsidRPr="00677186" w:rsidRDefault="00E47E39" w:rsidP="001A7923">
                  <w:pPr>
                    <w:pStyle w:val="Tableheading"/>
                    <w:rPr>
                      <w:sz w:val="20"/>
                      <w:szCs w:val="20"/>
                    </w:rPr>
                  </w:pPr>
                  <w:r w:rsidRPr="00677186">
                    <w:rPr>
                      <w:sz w:val="20"/>
                      <w:szCs w:val="20"/>
                    </w:rPr>
                    <w:t>Speaker</w:t>
                  </w:r>
                </w:p>
              </w:tc>
            </w:tr>
            <w:tr w:rsidR="00E47E39" w:rsidRPr="00677186" w:rsidTr="001A7923">
              <w:tc>
                <w:tcPr>
                  <w:tcW w:w="6516" w:type="dxa"/>
                </w:tcPr>
                <w:p w:rsidR="00E47E39" w:rsidRPr="00677186" w:rsidRDefault="00E47E39" w:rsidP="001A7923">
                  <w:pPr>
                    <w:pStyle w:val="Tablenormal0"/>
                    <w:rPr>
                      <w:sz w:val="20"/>
                      <w:szCs w:val="20"/>
                    </w:rPr>
                  </w:pPr>
                  <w:r w:rsidRPr="00677186">
                    <w:rPr>
                      <w:sz w:val="20"/>
                      <w:szCs w:val="20"/>
                    </w:rPr>
                    <w:t>Purpose of briefing, time analysis</w:t>
                  </w:r>
                </w:p>
              </w:tc>
              <w:tc>
                <w:tcPr>
                  <w:tcW w:w="2698" w:type="dxa"/>
                </w:tcPr>
                <w:p w:rsidR="00E47E39" w:rsidRPr="00677186" w:rsidRDefault="00E47E39" w:rsidP="001A7923">
                  <w:pPr>
                    <w:pStyle w:val="Tablenormal0"/>
                    <w:rPr>
                      <w:sz w:val="20"/>
                      <w:szCs w:val="20"/>
                    </w:rPr>
                  </w:pPr>
                  <w:r w:rsidRPr="00677186">
                    <w:rPr>
                      <w:sz w:val="20"/>
                      <w:szCs w:val="20"/>
                    </w:rPr>
                    <w:t>Response Manager or Planning rep</w:t>
                  </w:r>
                </w:p>
              </w:tc>
            </w:tr>
            <w:tr w:rsidR="00E47E39" w:rsidRPr="00677186" w:rsidTr="001A7923">
              <w:tc>
                <w:tcPr>
                  <w:tcW w:w="6516" w:type="dxa"/>
                </w:tcPr>
                <w:p w:rsidR="00E47E39" w:rsidRPr="00677186" w:rsidRDefault="00E47E39" w:rsidP="001A7923">
                  <w:pPr>
                    <w:pStyle w:val="Tablenormal0"/>
                    <w:rPr>
                      <w:sz w:val="20"/>
                      <w:szCs w:val="20"/>
                    </w:rPr>
                  </w:pPr>
                  <w:r w:rsidRPr="00677186">
                    <w:rPr>
                      <w:sz w:val="20"/>
                      <w:szCs w:val="20"/>
                    </w:rPr>
                    <w:t xml:space="preserve">Changes to hazard and environmental information, most dangerous and most likely hazard scenarios </w:t>
                  </w:r>
                  <w:r>
                    <w:rPr>
                      <w:sz w:val="20"/>
                      <w:szCs w:val="20"/>
                    </w:rPr>
                    <w:t>(if developed)</w:t>
                  </w:r>
                  <w:r w:rsidRPr="00677186">
                    <w:rPr>
                      <w:sz w:val="20"/>
                      <w:szCs w:val="20"/>
                    </w:rPr>
                    <w:t xml:space="preserve"> </w:t>
                  </w:r>
                </w:p>
              </w:tc>
              <w:tc>
                <w:tcPr>
                  <w:tcW w:w="2698" w:type="dxa"/>
                </w:tcPr>
                <w:p w:rsidR="00E47E39" w:rsidRPr="00677186" w:rsidRDefault="00E47E39" w:rsidP="001A7923">
                  <w:pPr>
                    <w:pStyle w:val="Tablenormal0"/>
                    <w:rPr>
                      <w:sz w:val="20"/>
                      <w:szCs w:val="20"/>
                    </w:rPr>
                  </w:pPr>
                  <w:r w:rsidRPr="00677186">
                    <w:rPr>
                      <w:sz w:val="20"/>
                      <w:szCs w:val="20"/>
                    </w:rPr>
                    <w:t>Intelligence rep</w:t>
                  </w:r>
                </w:p>
              </w:tc>
            </w:tr>
            <w:tr w:rsidR="00E47E39" w:rsidRPr="00677186" w:rsidTr="001A7923">
              <w:tc>
                <w:tcPr>
                  <w:tcW w:w="6516" w:type="dxa"/>
                </w:tcPr>
                <w:p w:rsidR="00E47E39" w:rsidRPr="00677186" w:rsidRDefault="00E47E39" w:rsidP="001A7923">
                  <w:pPr>
                    <w:pStyle w:val="Tablenumbering"/>
                    <w:numPr>
                      <w:ilvl w:val="0"/>
                      <w:numId w:val="0"/>
                    </w:numPr>
                    <w:rPr>
                      <w:sz w:val="20"/>
                      <w:szCs w:val="20"/>
                    </w:rPr>
                  </w:pPr>
                  <w:r w:rsidRPr="00677186">
                    <w:rPr>
                      <w:sz w:val="20"/>
                      <w:szCs w:val="20"/>
                    </w:rPr>
                    <w:t>Brief on each option</w:t>
                  </w:r>
                  <w:r>
                    <w:rPr>
                      <w:sz w:val="20"/>
                      <w:szCs w:val="20"/>
                    </w:rPr>
                    <w:t xml:space="preserve"> statement</w:t>
                  </w:r>
                  <w:r w:rsidRPr="00677186">
                    <w:rPr>
                      <w:sz w:val="20"/>
                      <w:szCs w:val="20"/>
                    </w:rPr>
                    <w:t>, giving a verbal and graphic description</w:t>
                  </w:r>
                  <w:r>
                    <w:rPr>
                      <w:sz w:val="20"/>
                      <w:szCs w:val="20"/>
                    </w:rPr>
                    <w:t xml:space="preserve"> of how operations will proceed</w:t>
                  </w:r>
                </w:p>
              </w:tc>
              <w:tc>
                <w:tcPr>
                  <w:tcW w:w="2698" w:type="dxa"/>
                </w:tcPr>
                <w:p w:rsidR="00E47E39" w:rsidRPr="00677186" w:rsidRDefault="00E47E39" w:rsidP="001A7923">
                  <w:pPr>
                    <w:pStyle w:val="Tablenormal0"/>
                    <w:rPr>
                      <w:sz w:val="20"/>
                      <w:szCs w:val="20"/>
                    </w:rPr>
                  </w:pPr>
                  <w:r w:rsidRPr="00677186">
                    <w:rPr>
                      <w:sz w:val="20"/>
                      <w:szCs w:val="20"/>
                    </w:rPr>
                    <w:t>Planning rep</w:t>
                  </w:r>
                </w:p>
              </w:tc>
            </w:tr>
            <w:tr w:rsidR="00E47E39" w:rsidRPr="00677186" w:rsidTr="001A7923">
              <w:tc>
                <w:tcPr>
                  <w:tcW w:w="6516" w:type="dxa"/>
                </w:tcPr>
                <w:p w:rsidR="00E47E39" w:rsidRPr="00677186" w:rsidRDefault="00E47E39" w:rsidP="001A7923">
                  <w:pPr>
                    <w:pStyle w:val="Tablenormal0"/>
                    <w:rPr>
                      <w:sz w:val="20"/>
                      <w:szCs w:val="20"/>
                    </w:rPr>
                  </w:pPr>
                  <w:r w:rsidRPr="00677186">
                    <w:rPr>
                      <w:sz w:val="20"/>
                      <w:szCs w:val="20"/>
                    </w:rPr>
                    <w:t>Logistics supporting concept</w:t>
                  </w:r>
                </w:p>
              </w:tc>
              <w:tc>
                <w:tcPr>
                  <w:tcW w:w="2698" w:type="dxa"/>
                </w:tcPr>
                <w:p w:rsidR="00E47E39" w:rsidRPr="00677186" w:rsidRDefault="00E47E39" w:rsidP="001A7923">
                  <w:pPr>
                    <w:pStyle w:val="Tablenormal0"/>
                    <w:rPr>
                      <w:sz w:val="20"/>
                      <w:szCs w:val="20"/>
                    </w:rPr>
                  </w:pPr>
                  <w:r w:rsidRPr="00677186">
                    <w:rPr>
                      <w:sz w:val="20"/>
                      <w:szCs w:val="20"/>
                    </w:rPr>
                    <w:t>Logistics rep</w:t>
                  </w:r>
                </w:p>
              </w:tc>
            </w:tr>
            <w:tr w:rsidR="00E47E39" w:rsidRPr="00677186" w:rsidTr="001A7923">
              <w:tc>
                <w:tcPr>
                  <w:tcW w:w="6516" w:type="dxa"/>
                </w:tcPr>
                <w:p w:rsidR="00E47E39" w:rsidRPr="00677186" w:rsidRDefault="00E47E39" w:rsidP="001A7923">
                  <w:pPr>
                    <w:pStyle w:val="Tablenormal0"/>
                    <w:rPr>
                      <w:sz w:val="20"/>
                      <w:szCs w:val="20"/>
                    </w:rPr>
                  </w:pPr>
                  <w:r w:rsidRPr="00677186">
                    <w:rPr>
                      <w:sz w:val="20"/>
                      <w:szCs w:val="20"/>
                    </w:rPr>
                    <w:t>PIM concept and key messages</w:t>
                  </w:r>
                </w:p>
              </w:tc>
              <w:tc>
                <w:tcPr>
                  <w:tcW w:w="2698" w:type="dxa"/>
                </w:tcPr>
                <w:p w:rsidR="00E47E39" w:rsidRPr="00677186" w:rsidRDefault="00E47E39" w:rsidP="001A7923">
                  <w:pPr>
                    <w:pStyle w:val="Tablenormal0"/>
                    <w:rPr>
                      <w:sz w:val="20"/>
                      <w:szCs w:val="20"/>
                    </w:rPr>
                  </w:pPr>
                  <w:r w:rsidRPr="00677186">
                    <w:rPr>
                      <w:sz w:val="20"/>
                      <w:szCs w:val="20"/>
                    </w:rPr>
                    <w:t>PIM rep</w:t>
                  </w:r>
                </w:p>
              </w:tc>
            </w:tr>
          </w:tbl>
          <w:p w:rsidR="00E47E39" w:rsidRPr="00677186" w:rsidRDefault="00E47E39" w:rsidP="001A7923">
            <w:pPr>
              <w:pStyle w:val="Tablenormal0"/>
              <w:rPr>
                <w:sz w:val="20"/>
                <w:szCs w:val="20"/>
                <w:highlight w:val="yellow"/>
              </w:rPr>
            </w:pPr>
          </w:p>
          <w:p w:rsidR="00E47E39" w:rsidRPr="00677186" w:rsidRDefault="00E47E39" w:rsidP="001A7923">
            <w:pPr>
              <w:pStyle w:val="Tablenormal0"/>
              <w:rPr>
                <w:sz w:val="20"/>
                <w:szCs w:val="20"/>
              </w:rPr>
            </w:pPr>
            <w:r w:rsidRPr="00677186">
              <w:rPr>
                <w:sz w:val="20"/>
                <w:szCs w:val="20"/>
              </w:rPr>
              <w:t>At the end of this brief, the Controller may modify and/or confirm these options, allowing the Planning team to move onto the next step. If the Controller rejects these options, the Planning team returns to the start of this procedure.</w:t>
            </w:r>
          </w:p>
          <w:p w:rsidR="00E47E39" w:rsidRPr="00207ADD" w:rsidRDefault="00E47E39" w:rsidP="001A7923">
            <w:pPr>
              <w:pStyle w:val="Tablenormal0"/>
              <w:rPr>
                <w:rFonts w:cs="Arial"/>
                <w:sz w:val="20"/>
                <w:highlight w:val="yellow"/>
              </w:rPr>
            </w:pPr>
          </w:p>
        </w:tc>
      </w:tr>
    </w:tbl>
    <w:p w:rsidR="00E47E39" w:rsidRPr="00035220" w:rsidRDefault="00E47E39" w:rsidP="00035220">
      <w:bookmarkStart w:id="0" w:name="_GoBack"/>
      <w:bookmarkEnd w:id="0"/>
    </w:p>
    <w:sectPr w:rsidR="00E47E39" w:rsidRPr="00035220"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BC" w:rsidRDefault="000A66BC" w:rsidP="0028688E">
      <w:pPr>
        <w:spacing w:before="0" w:after="0" w:line="240" w:lineRule="auto"/>
      </w:pPr>
      <w:r>
        <w:separator/>
      </w:r>
    </w:p>
  </w:endnote>
  <w:endnote w:type="continuationSeparator" w:id="0">
    <w:p w:rsidR="000A66BC" w:rsidRDefault="000A66BC"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035220" w:rsidP="00855A5B">
    <w:pPr>
      <w:pStyle w:val="MCDEMfooter"/>
      <w:tabs>
        <w:tab w:val="left" w:pos="4157"/>
      </w:tabs>
    </w:pPr>
    <w:r w:rsidRPr="00035220">
      <w:t>Quick Planning – Options Development template</w:t>
    </w:r>
    <w:r w:rsidR="0028688E">
      <w:tab/>
    </w:r>
    <w:r w:rsidR="00855A5B">
      <w:tab/>
    </w:r>
    <w:r w:rsidR="0028688E">
      <w:t xml:space="preserve">Page </w:t>
    </w:r>
    <w:r w:rsidR="00722741">
      <w:fldChar w:fldCharType="begin"/>
    </w:r>
    <w:r w:rsidR="0028688E">
      <w:instrText xml:space="preserve"> PAGE   \* MERGEFORMAT </w:instrText>
    </w:r>
    <w:r w:rsidR="00722741">
      <w:fldChar w:fldCharType="separate"/>
    </w:r>
    <w:r w:rsidR="0047779A">
      <w:rPr>
        <w:noProof/>
      </w:rPr>
      <w:t>2</w:t>
    </w:r>
    <w:r w:rsidR="00722741">
      <w:rPr>
        <w:noProof/>
      </w:rPr>
      <w:fldChar w:fldCharType="end"/>
    </w:r>
    <w:r w:rsidR="0028688E">
      <w:t xml:space="preserve"> of </w:t>
    </w:r>
    <w:fldSimple w:instr=" NUMPAGES   \* MERGEFORMAT ">
      <w:r w:rsidR="0047779A">
        <w:rPr>
          <w:noProof/>
        </w:rPr>
        <w:t>2</w:t>
      </w:r>
    </w:fldSimple>
  </w:p>
  <w:p w:rsidR="0028688E" w:rsidRDefault="0028688E" w:rsidP="00003E8D">
    <w:pPr>
      <w:pStyle w:val="MCDEMfooter"/>
      <w:tabs>
        <w:tab w:val="left" w:pos="1544"/>
      </w:tabs>
    </w:pPr>
    <w:r>
      <w:tab/>
    </w:r>
    <w:r w:rsidR="00003E8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BC" w:rsidRDefault="000A66BC" w:rsidP="0028688E">
      <w:pPr>
        <w:spacing w:before="0" w:after="0" w:line="240" w:lineRule="auto"/>
      </w:pPr>
      <w:r>
        <w:separator/>
      </w:r>
    </w:p>
  </w:footnote>
  <w:footnote w:type="continuationSeparator" w:id="0">
    <w:p w:rsidR="000A66BC" w:rsidRDefault="000A66BC"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2E7B63C8"/>
    <w:multiLevelType w:val="multilevel"/>
    <w:tmpl w:val="A79ED950"/>
    <w:numStyleLink w:val="MCDEMbullet"/>
  </w:abstractNum>
  <w:abstractNum w:abstractNumId="11">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7D661627"/>
    <w:multiLevelType w:val="multilevel"/>
    <w:tmpl w:val="A79ED950"/>
    <w:numStyleLink w:val="MCDEMbullet"/>
  </w:abstractNum>
  <w:num w:numId="1">
    <w:abstractNumId w:val="9"/>
  </w:num>
  <w:num w:numId="2">
    <w:abstractNumId w:val="16"/>
  </w:num>
  <w:num w:numId="3">
    <w:abstractNumId w:val="17"/>
  </w:num>
  <w:num w:numId="4">
    <w:abstractNumId w:val="9"/>
  </w:num>
  <w:num w:numId="5">
    <w:abstractNumId w:val="7"/>
  </w:num>
  <w:num w:numId="6">
    <w:abstractNumId w:val="1"/>
  </w:num>
  <w:num w:numId="7">
    <w:abstractNumId w:val="12"/>
  </w:num>
  <w:num w:numId="8">
    <w:abstractNumId w:val="8"/>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9"/>
  </w:num>
  <w:num w:numId="16">
    <w:abstractNumId w:val="7"/>
  </w:num>
  <w:num w:numId="17">
    <w:abstractNumId w:val="1"/>
  </w:num>
  <w:num w:numId="18">
    <w:abstractNumId w:val="12"/>
  </w:num>
  <w:num w:numId="19">
    <w:abstractNumId w:val="8"/>
  </w:num>
  <w:num w:numId="20">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3"/>
  </w:num>
  <w:num w:numId="23">
    <w:abstractNumId w:val="6"/>
  </w:num>
  <w:num w:numId="24">
    <w:abstractNumId w:val="15"/>
  </w:num>
  <w:num w:numId="25">
    <w:abstractNumId w:val="4"/>
  </w:num>
  <w:num w:numId="26">
    <w:abstractNumId w:val="11"/>
  </w:num>
  <w:num w:numId="27">
    <w:abstractNumId w:val="2"/>
  </w:num>
  <w:num w:numId="28">
    <w:abstractNumId w:val="2"/>
  </w:num>
  <w:num w:numId="29">
    <w:abstractNumId w:val="14"/>
  </w:num>
  <w:num w:numId="30">
    <w:abstractNumId w:val="3"/>
  </w:num>
  <w:num w:numId="31">
    <w:abstractNumId w:val="5"/>
  </w:num>
  <w:num w:numId="32">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0A66BC"/>
    <w:rsid w:val="00003E8D"/>
    <w:rsid w:val="00033DD1"/>
    <w:rsid w:val="00035220"/>
    <w:rsid w:val="000765B8"/>
    <w:rsid w:val="000A66BC"/>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7779A"/>
    <w:rsid w:val="004A088F"/>
    <w:rsid w:val="004C4DA5"/>
    <w:rsid w:val="005677BE"/>
    <w:rsid w:val="00582EC5"/>
    <w:rsid w:val="005B6A6C"/>
    <w:rsid w:val="006101A7"/>
    <w:rsid w:val="00627CEC"/>
    <w:rsid w:val="0068763B"/>
    <w:rsid w:val="00694EA2"/>
    <w:rsid w:val="006958B1"/>
    <w:rsid w:val="006D6B32"/>
    <w:rsid w:val="006E19EC"/>
    <w:rsid w:val="00707CF7"/>
    <w:rsid w:val="007200A6"/>
    <w:rsid w:val="00722741"/>
    <w:rsid w:val="00771F8C"/>
    <w:rsid w:val="0077432C"/>
    <w:rsid w:val="007D4F54"/>
    <w:rsid w:val="007F51FB"/>
    <w:rsid w:val="008456EB"/>
    <w:rsid w:val="00855A5B"/>
    <w:rsid w:val="008622E5"/>
    <w:rsid w:val="00877EC7"/>
    <w:rsid w:val="0089602C"/>
    <w:rsid w:val="00897426"/>
    <w:rsid w:val="008A5E57"/>
    <w:rsid w:val="00900388"/>
    <w:rsid w:val="009020A7"/>
    <w:rsid w:val="00930533"/>
    <w:rsid w:val="00973D03"/>
    <w:rsid w:val="00976D92"/>
    <w:rsid w:val="009A3EB6"/>
    <w:rsid w:val="009A7F6E"/>
    <w:rsid w:val="009F656B"/>
    <w:rsid w:val="00A0032D"/>
    <w:rsid w:val="00A07E93"/>
    <w:rsid w:val="00A11FE0"/>
    <w:rsid w:val="00B51752"/>
    <w:rsid w:val="00B53885"/>
    <w:rsid w:val="00BE6D4A"/>
    <w:rsid w:val="00BE7259"/>
    <w:rsid w:val="00C00F9B"/>
    <w:rsid w:val="00CD705C"/>
    <w:rsid w:val="00CE751C"/>
    <w:rsid w:val="00CF6327"/>
    <w:rsid w:val="00D170EE"/>
    <w:rsid w:val="00D20B00"/>
    <w:rsid w:val="00E04917"/>
    <w:rsid w:val="00E47E39"/>
    <w:rsid w:val="00E60260"/>
    <w:rsid w:val="00ED03B0"/>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customStyle="1" w:styleId="HeadingAppendix9">
    <w:name w:val="Heading Appendix 9"/>
    <w:basedOn w:val="Normal"/>
    <w:next w:val="Normal"/>
    <w:qFormat/>
    <w:rsid w:val="00035220"/>
    <w:pPr>
      <w:pBdr>
        <w:bottom w:val="single" w:sz="4" w:space="1" w:color="AFAFAF" w:themeColor="accent1"/>
      </w:pBdr>
      <w:spacing w:before="200" w:after="40"/>
    </w:pPr>
    <w:rPr>
      <w:b/>
      <w:i/>
      <w:color w:val="005A9B" w:themeColor="background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customStyle="1" w:styleId="HeadingAppendix9">
    <w:name w:val="Heading Appendix 9"/>
    <w:basedOn w:val="Normal"/>
    <w:next w:val="Normal"/>
    <w:qFormat/>
    <w:rsid w:val="00035220"/>
    <w:pPr>
      <w:pBdr>
        <w:bottom w:val="single" w:sz="4" w:space="1" w:color="AFAFAF" w:themeColor="accent1"/>
      </w:pBdr>
      <w:spacing w:before="200" w:after="40"/>
    </w:pPr>
    <w:rPr>
      <w:b/>
      <w:i/>
      <w:color w:val="005A9B" w:themeColor="background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3541-0D57-4FED-AAA8-7711C082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3248</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Planning in CDEM - Quick Planning - Options Development template - Ministry of Civil Defence &amp; Emergency Management</dc:title>
  <dc:creator>Ministry of Civil Defence &amp; Emergency Management</dc:creator>
  <cp:lastModifiedBy>Jaynia Steel [CASS]</cp:lastModifiedBy>
  <cp:revision>3</cp:revision>
  <dcterms:created xsi:type="dcterms:W3CDTF">2015-12-02T01:23:00Z</dcterms:created>
  <dcterms:modified xsi:type="dcterms:W3CDTF">2015-12-02T01:24:00Z</dcterms:modified>
</cp:coreProperties>
</file>