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9E6103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HEA </w:t>
      </w:r>
      <w:r w:rsidR="0043715F">
        <w:rPr>
          <w:rFonts w:eastAsiaTheme="majorEastAsia"/>
        </w:rPr>
        <w:t>Template</w:t>
      </w:r>
      <w:r>
        <w:rPr>
          <w:rFonts w:eastAsiaTheme="majorEastAsia"/>
        </w:rPr>
        <w:t xml:space="preserve">: </w:t>
      </w:r>
      <w:r w:rsidR="004A7B3D">
        <w:rPr>
          <w:rFonts w:eastAsiaTheme="majorEastAsia"/>
        </w:rPr>
        <w:t xml:space="preserve">Define the </w:t>
      </w:r>
      <w:r w:rsidR="0043715F">
        <w:rPr>
          <w:rFonts w:eastAsiaTheme="majorEastAsia"/>
        </w:rPr>
        <w:t>Operational Spa</w:t>
      </w:r>
      <w:bookmarkStart w:id="0" w:name="_GoBack"/>
      <w:bookmarkEnd w:id="0"/>
      <w:r w:rsidR="0043715F">
        <w:rPr>
          <w:rFonts w:eastAsiaTheme="majorEastAsia"/>
        </w:rPr>
        <w:t>ce</w:t>
      </w:r>
      <w:r w:rsidR="0043715F" w:rsidRPr="007F51FB">
        <w:rPr>
          <w:rFonts w:eastAsiaTheme="majorEastAsia"/>
        </w:rPr>
        <w:t xml:space="preserve"> </w:t>
      </w:r>
    </w:p>
    <w:p w:rsidR="00794990" w:rsidRPr="00956902" w:rsidRDefault="00794990" w:rsidP="00794990">
      <w:r w:rsidRPr="00956902">
        <w:t xml:space="preserve">This template has been developed to assist with the ‘Define the operational space’ step of the </w:t>
      </w:r>
      <w:r>
        <w:t>HEA</w:t>
      </w:r>
      <w:r w:rsidRPr="00956902">
        <w:t xml:space="preserve"> process</w:t>
      </w:r>
      <w:r>
        <w:t xml:space="preserve">. </w:t>
      </w:r>
      <w:r w:rsidRPr="00956902">
        <w:t xml:space="preserve">It should be used to record the </w:t>
      </w:r>
      <w:r>
        <w:t>I</w:t>
      </w:r>
      <w:r w:rsidRPr="00956902">
        <w:t>ntelligence team’s analysis and conclusions, and as an agenda for an Intelligence meeting.</w:t>
      </w:r>
    </w:p>
    <w:p w:rsidR="004A7B3D" w:rsidRPr="00956902" w:rsidRDefault="00794990" w:rsidP="00794990">
      <w:r w:rsidRPr="00956902">
        <w:t>The template consists of a series of steps. The aim is to discuss each step, recording the conclusions reached from the discuss</w:t>
      </w:r>
      <w:r>
        <w:t>ion. The final step is for the In</w:t>
      </w:r>
      <w:r w:rsidRPr="00956902">
        <w:t xml:space="preserve">telligence </w:t>
      </w:r>
      <w:r>
        <w:t>team</w:t>
      </w:r>
      <w:r w:rsidRPr="00956902">
        <w:t xml:space="preserve"> to report their deductions back to the </w:t>
      </w:r>
      <w:r>
        <w:t>Controller and P</w:t>
      </w:r>
      <w:r w:rsidRPr="00956902">
        <w:t>lanning team.</w:t>
      </w:r>
    </w:p>
    <w:p w:rsidR="004A7B3D" w:rsidRPr="00956902" w:rsidRDefault="004A7B3D" w:rsidP="004A7B3D">
      <w:pPr>
        <w:pStyle w:val="HeadingAppendix9"/>
      </w:pPr>
      <w:r w:rsidRPr="00956902">
        <w:t>Inputs</w:t>
      </w:r>
    </w:p>
    <w:p w:rsidR="00794990" w:rsidRPr="00956902" w:rsidRDefault="00794990" w:rsidP="00794990">
      <w:pPr>
        <w:pStyle w:val="BlockText"/>
        <w:ind w:left="0"/>
        <w:rPr>
          <w:rFonts w:cs="Arial"/>
        </w:rPr>
      </w:pPr>
      <w:r w:rsidRPr="00956902">
        <w:rPr>
          <w:rFonts w:cs="Arial"/>
        </w:rPr>
        <w:t xml:space="preserve">The main inputs into </w:t>
      </w:r>
      <w:r w:rsidRPr="00956902">
        <w:t xml:space="preserve">‘Define the operational space’ </w:t>
      </w:r>
      <w:r>
        <w:rPr>
          <w:rFonts w:cs="Arial"/>
        </w:rPr>
        <w:t>are:</w:t>
      </w:r>
    </w:p>
    <w:p w:rsidR="00794990" w:rsidRPr="00956902" w:rsidRDefault="00794990" w:rsidP="00794990">
      <w:pPr>
        <w:pStyle w:val="Tablebullet"/>
        <w:numPr>
          <w:ilvl w:val="0"/>
          <w:numId w:val="1"/>
        </w:numPr>
      </w:pPr>
      <w:r w:rsidRPr="00956902">
        <w:t>Higher response level Action Plan (if created)</w:t>
      </w:r>
    </w:p>
    <w:p w:rsidR="00794990" w:rsidRPr="00956902" w:rsidRDefault="00794990" w:rsidP="00794990">
      <w:pPr>
        <w:pStyle w:val="Tablebullet"/>
        <w:numPr>
          <w:ilvl w:val="0"/>
          <w:numId w:val="1"/>
        </w:numPr>
      </w:pPr>
      <w:r w:rsidRPr="00956902">
        <w:t>Controller’s Preliminary Scoping and guidance</w:t>
      </w:r>
    </w:p>
    <w:p w:rsidR="00794990" w:rsidRPr="00956902" w:rsidRDefault="00794990" w:rsidP="00794990">
      <w:pPr>
        <w:pStyle w:val="Tablebullet"/>
        <w:numPr>
          <w:ilvl w:val="0"/>
          <w:numId w:val="1"/>
        </w:numPr>
      </w:pPr>
      <w:r w:rsidRPr="00956902">
        <w:t>Situation information</w:t>
      </w:r>
    </w:p>
    <w:p w:rsidR="004A7B3D" w:rsidRPr="00956902" w:rsidRDefault="00794990" w:rsidP="00794990">
      <w:pPr>
        <w:pStyle w:val="Tablebullet"/>
        <w:numPr>
          <w:ilvl w:val="0"/>
          <w:numId w:val="1"/>
        </w:numPr>
      </w:pPr>
      <w:r w:rsidRPr="00956902">
        <w:t>I</w:t>
      </w:r>
      <w:r>
        <w:t>nitial Action Plan (if created)</w:t>
      </w:r>
    </w:p>
    <w:p w:rsidR="004A7B3D" w:rsidRPr="00956902" w:rsidRDefault="004A7B3D" w:rsidP="004A7B3D">
      <w:pPr>
        <w:spacing w:before="0" w:after="0" w:line="240" w:lineRule="auto"/>
        <w:ind w:left="426" w:hanging="426"/>
      </w:pPr>
    </w:p>
    <w:tbl>
      <w:tblPr>
        <w:tblW w:w="0" w:type="auto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794990" w:rsidRPr="00956902" w:rsidTr="001A7923">
        <w:trPr>
          <w:cantSplit/>
        </w:trPr>
        <w:tc>
          <w:tcPr>
            <w:tcW w:w="9741" w:type="dxa"/>
            <w:shd w:val="clear" w:color="auto" w:fill="005A9B" w:themeFill="background2"/>
          </w:tcPr>
          <w:p w:rsidR="00794990" w:rsidRPr="00956902" w:rsidRDefault="00794990" w:rsidP="001A7923">
            <w:pPr>
              <w:pStyle w:val="Tableheading"/>
              <w:rPr>
                <w:rFonts w:cs="Arial"/>
              </w:rPr>
            </w:pPr>
            <w:r>
              <w:t xml:space="preserve">Step 1: </w:t>
            </w:r>
            <w:r w:rsidRPr="00956902">
              <w:t xml:space="preserve">Define the </w:t>
            </w:r>
            <w:r>
              <w:t>area of operations</w:t>
            </w: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auto"/>
          </w:tcPr>
          <w:p w:rsidR="00794990" w:rsidRPr="00292EC1" w:rsidRDefault="00794990" w:rsidP="001A7923">
            <w:pPr>
              <w:pStyle w:val="Tablenormal0"/>
              <w:rPr>
                <w:i/>
                <w:iCs/>
                <w:color w:val="838383" w:themeColor="accent1" w:themeShade="BF"/>
                <w:sz w:val="20"/>
              </w:rPr>
            </w:pPr>
            <w:r>
              <w:rPr>
                <w:i/>
                <w:iCs/>
                <w:color w:val="838383" w:themeColor="accent1" w:themeShade="BF"/>
                <w:sz w:val="20"/>
              </w:rPr>
              <w:t>[</w:t>
            </w:r>
            <w:r w:rsidRPr="00292EC1">
              <w:rPr>
                <w:i/>
                <w:iCs/>
                <w:color w:val="838383" w:themeColor="accent1" w:themeShade="BF"/>
                <w:sz w:val="20"/>
              </w:rPr>
              <w:t>Determine the area that the response will occur in.</w:t>
            </w:r>
            <w:r>
              <w:rPr>
                <w:i/>
                <w:iCs/>
                <w:color w:val="838383" w:themeColor="accent1" w:themeShade="BF"/>
                <w:sz w:val="20"/>
              </w:rPr>
              <w:t>]</w:t>
            </w:r>
          </w:p>
          <w:p w:rsidR="00794990" w:rsidRPr="00956902" w:rsidRDefault="00794990" w:rsidP="001A7923">
            <w:pPr>
              <w:pStyle w:val="Tablenormal0"/>
              <w:rPr>
                <w:sz w:val="20"/>
                <w:szCs w:val="20"/>
                <w:highlight w:val="yellow"/>
              </w:rPr>
            </w:pPr>
          </w:p>
          <w:p w:rsidR="00794990" w:rsidRPr="00956902" w:rsidRDefault="00794990" w:rsidP="001A7923">
            <w:pPr>
              <w:pStyle w:val="Tablenormal0"/>
              <w:rPr>
                <w:rFonts w:cs="Arial"/>
                <w:highlight w:val="yellow"/>
                <w:u w:val="single"/>
              </w:rPr>
            </w:pP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005A9B" w:themeFill="background2"/>
          </w:tcPr>
          <w:p w:rsidR="00794990" w:rsidRPr="00956902" w:rsidRDefault="00794990" w:rsidP="001A7923">
            <w:pPr>
              <w:pStyle w:val="Tableheading"/>
              <w:rPr>
                <w:rFonts w:cs="Arial"/>
                <w:highlight w:val="yellow"/>
              </w:rPr>
            </w:pPr>
            <w:r w:rsidRPr="00956902">
              <w:t xml:space="preserve">Step 2:  </w:t>
            </w:r>
            <w:r>
              <w:t>Define the area of interest</w:t>
            </w: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auto"/>
          </w:tcPr>
          <w:p w:rsidR="00794990" w:rsidRPr="00292EC1" w:rsidRDefault="00794990" w:rsidP="001A7923">
            <w:pPr>
              <w:pStyle w:val="Tablenormal0"/>
              <w:rPr>
                <w:i/>
                <w:iCs/>
                <w:color w:val="838383" w:themeColor="accent1" w:themeShade="BF"/>
                <w:sz w:val="20"/>
              </w:rPr>
            </w:pPr>
            <w:r w:rsidRPr="00292EC1">
              <w:rPr>
                <w:i/>
                <w:iCs/>
                <w:color w:val="838383" w:themeColor="accent1" w:themeShade="BF"/>
                <w:sz w:val="20"/>
              </w:rPr>
              <w:t>[Determine the area where events may influence the response, and which will therefore be of interest.</w:t>
            </w:r>
            <w:r>
              <w:rPr>
                <w:i/>
                <w:iCs/>
                <w:color w:val="838383" w:themeColor="accent1" w:themeShade="BF"/>
                <w:sz w:val="20"/>
              </w:rPr>
              <w:t>]</w:t>
            </w:r>
            <w:r w:rsidRPr="00292EC1">
              <w:rPr>
                <w:i/>
                <w:iCs/>
                <w:color w:val="838383" w:themeColor="accent1" w:themeShade="BF"/>
                <w:sz w:val="20"/>
              </w:rPr>
              <w:t xml:space="preserve"> </w:t>
            </w:r>
          </w:p>
          <w:p w:rsidR="00794990" w:rsidRDefault="00794990" w:rsidP="001A7923">
            <w:pPr>
              <w:pStyle w:val="Tablenormal0"/>
              <w:rPr>
                <w:rFonts w:cs="Arial"/>
                <w:sz w:val="20"/>
                <w:highlight w:val="yellow"/>
              </w:rPr>
            </w:pPr>
          </w:p>
          <w:p w:rsidR="00794990" w:rsidRPr="00956902" w:rsidRDefault="00794990" w:rsidP="001A7923">
            <w:pPr>
              <w:pStyle w:val="Tablenormal0"/>
              <w:rPr>
                <w:rFonts w:cs="Arial"/>
                <w:sz w:val="20"/>
                <w:highlight w:val="yellow"/>
              </w:rPr>
            </w:pP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005A9B" w:themeFill="background2"/>
          </w:tcPr>
          <w:p w:rsidR="00794990" w:rsidRPr="00956902" w:rsidRDefault="00794990" w:rsidP="001A7923">
            <w:pPr>
              <w:pStyle w:val="Tablenormal0"/>
              <w:rPr>
                <w:rFonts w:cs="Arial"/>
                <w:highlight w:val="yellow"/>
              </w:rPr>
            </w:pPr>
            <w:r w:rsidRPr="00956902">
              <w:rPr>
                <w:b/>
                <w:color w:val="FFFFFF"/>
              </w:rPr>
              <w:t xml:space="preserve">Step </w:t>
            </w:r>
            <w:r>
              <w:rPr>
                <w:b/>
                <w:color w:val="FFFFFF"/>
              </w:rPr>
              <w:t xml:space="preserve">3: </w:t>
            </w:r>
            <w:r w:rsidRPr="00956902">
              <w:rPr>
                <w:b/>
                <w:color w:val="FFFFFF"/>
              </w:rPr>
              <w:t>Identify significant characteristics of the environment</w:t>
            </w: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auto"/>
          </w:tcPr>
          <w:p w:rsidR="00794990" w:rsidRDefault="00794990" w:rsidP="001A7923">
            <w:pPr>
              <w:pStyle w:val="Tablenormal0"/>
              <w:rPr>
                <w:sz w:val="20"/>
                <w:szCs w:val="20"/>
              </w:rPr>
            </w:pPr>
            <w:r>
              <w:rPr>
                <w:i/>
                <w:iCs/>
                <w:color w:val="838383" w:themeColor="accent1" w:themeShade="BF"/>
                <w:sz w:val="20"/>
              </w:rPr>
              <w:t>[</w:t>
            </w:r>
            <w:r w:rsidRPr="00292EC1">
              <w:rPr>
                <w:i/>
                <w:iCs/>
                <w:color w:val="838383" w:themeColor="accent1" w:themeShade="BF"/>
                <w:sz w:val="20"/>
              </w:rPr>
              <w:t>Identify characteristics of the environment that require a deeper analysis of their likely effects on the respons</w:t>
            </w:r>
            <w:r>
              <w:rPr>
                <w:i/>
                <w:iCs/>
                <w:color w:val="838383" w:themeColor="accent1" w:themeShade="BF"/>
                <w:sz w:val="20"/>
              </w:rPr>
              <w:t>e and the hazard.]</w:t>
            </w: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4"/>
              </w:numPr>
              <w:rPr>
                <w:szCs w:val="20"/>
              </w:rPr>
            </w:pPr>
            <w:r w:rsidRPr="00292EC1">
              <w:rPr>
                <w:szCs w:val="20"/>
                <w:u w:val="single"/>
              </w:rPr>
              <w:t>Terrain</w:t>
            </w:r>
            <w:r w:rsidRPr="00292EC1">
              <w:rPr>
                <w:szCs w:val="20"/>
              </w:rPr>
              <w:t>:</w:t>
            </w:r>
          </w:p>
          <w:p w:rsidR="00794990" w:rsidRPr="00292EC1" w:rsidRDefault="00794990" w:rsidP="001A7923">
            <w:pPr>
              <w:pStyle w:val="Tablenormal0"/>
              <w:ind w:left="360"/>
              <w:rPr>
                <w:szCs w:val="20"/>
              </w:rPr>
            </w:pP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4"/>
              </w:numPr>
              <w:rPr>
                <w:szCs w:val="20"/>
              </w:rPr>
            </w:pPr>
            <w:r w:rsidRPr="00292EC1">
              <w:rPr>
                <w:szCs w:val="20"/>
                <w:u w:val="single"/>
              </w:rPr>
              <w:t>Weather</w:t>
            </w:r>
            <w:r w:rsidRPr="00292EC1">
              <w:rPr>
                <w:szCs w:val="20"/>
              </w:rPr>
              <w:t>:</w:t>
            </w:r>
          </w:p>
          <w:p w:rsidR="00794990" w:rsidRPr="00292EC1" w:rsidRDefault="00794990" w:rsidP="001A7923">
            <w:pPr>
              <w:pStyle w:val="Tablenormal0"/>
              <w:ind w:left="360"/>
              <w:rPr>
                <w:szCs w:val="20"/>
              </w:rPr>
            </w:pP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4"/>
              </w:numPr>
              <w:rPr>
                <w:szCs w:val="20"/>
              </w:rPr>
            </w:pPr>
            <w:r w:rsidRPr="00292EC1">
              <w:rPr>
                <w:szCs w:val="20"/>
                <w:u w:val="single"/>
              </w:rPr>
              <w:t>Demographics</w:t>
            </w:r>
            <w:r w:rsidRPr="00292EC1">
              <w:rPr>
                <w:szCs w:val="20"/>
              </w:rPr>
              <w:t>:</w:t>
            </w:r>
          </w:p>
          <w:p w:rsidR="00794990" w:rsidRPr="00292EC1" w:rsidRDefault="00794990" w:rsidP="001A7923">
            <w:pPr>
              <w:pStyle w:val="Tablenormal0"/>
              <w:ind w:left="360"/>
              <w:rPr>
                <w:szCs w:val="20"/>
              </w:rPr>
            </w:pP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4"/>
              </w:numPr>
              <w:rPr>
                <w:szCs w:val="20"/>
              </w:rPr>
            </w:pPr>
            <w:r w:rsidRPr="00292EC1">
              <w:rPr>
                <w:szCs w:val="20"/>
                <w:u w:val="single"/>
              </w:rPr>
              <w:t>Infrastructure</w:t>
            </w:r>
            <w:r w:rsidRPr="00292EC1">
              <w:rPr>
                <w:szCs w:val="20"/>
              </w:rPr>
              <w:t xml:space="preserve"> :</w:t>
            </w:r>
          </w:p>
          <w:p w:rsidR="00794990" w:rsidRPr="00292EC1" w:rsidRDefault="00794990" w:rsidP="001A7923">
            <w:pPr>
              <w:pStyle w:val="Tablenormal0"/>
              <w:ind w:left="360"/>
              <w:rPr>
                <w:szCs w:val="20"/>
              </w:rPr>
            </w:pP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4"/>
              </w:numPr>
              <w:rPr>
                <w:szCs w:val="20"/>
              </w:rPr>
            </w:pPr>
            <w:r w:rsidRPr="00292EC1">
              <w:rPr>
                <w:szCs w:val="20"/>
                <w:u w:val="single"/>
              </w:rPr>
              <w:t>Local economy</w:t>
            </w:r>
            <w:r w:rsidRPr="00292EC1">
              <w:rPr>
                <w:szCs w:val="20"/>
              </w:rPr>
              <w:t>:</w:t>
            </w:r>
          </w:p>
          <w:p w:rsidR="00794990" w:rsidRPr="00292EC1" w:rsidRDefault="00794990" w:rsidP="001A7923">
            <w:pPr>
              <w:pStyle w:val="Tablenormal0"/>
              <w:ind w:left="360"/>
              <w:rPr>
                <w:szCs w:val="20"/>
              </w:rPr>
            </w:pP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4"/>
              </w:numPr>
              <w:rPr>
                <w:szCs w:val="20"/>
              </w:rPr>
            </w:pPr>
            <w:r w:rsidRPr="00292EC1">
              <w:rPr>
                <w:szCs w:val="20"/>
                <w:u w:val="single"/>
              </w:rPr>
              <w:t>Other</w:t>
            </w:r>
            <w:r w:rsidRPr="00292EC1">
              <w:rPr>
                <w:szCs w:val="20"/>
              </w:rPr>
              <w:t>:</w:t>
            </w:r>
          </w:p>
          <w:p w:rsidR="00794990" w:rsidRPr="00956902" w:rsidRDefault="00794990" w:rsidP="001A7923">
            <w:pPr>
              <w:pStyle w:val="Tablenormal0"/>
              <w:rPr>
                <w:rFonts w:cs="Arial"/>
                <w:highlight w:val="yellow"/>
              </w:rPr>
            </w:pPr>
          </w:p>
        </w:tc>
      </w:tr>
    </w:tbl>
    <w:p w:rsidR="004A7B3D" w:rsidRDefault="004A7B3D" w:rsidP="004A7B3D"/>
    <w:p w:rsidR="004A7B3D" w:rsidRDefault="004A7B3D" w:rsidP="004A7B3D">
      <w:pPr>
        <w:spacing w:before="0" w:after="0" w:line="240" w:lineRule="auto"/>
      </w:pPr>
      <w:r>
        <w:br w:type="page"/>
      </w:r>
    </w:p>
    <w:p w:rsidR="00794990" w:rsidRDefault="00794990" w:rsidP="004A7B3D">
      <w:pPr>
        <w:spacing w:before="0" w:after="0" w:line="240" w:lineRule="auto"/>
      </w:pPr>
    </w:p>
    <w:tbl>
      <w:tblPr>
        <w:tblW w:w="0" w:type="auto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794990" w:rsidRPr="00956902" w:rsidTr="001A7923">
        <w:trPr>
          <w:cantSplit/>
        </w:trPr>
        <w:tc>
          <w:tcPr>
            <w:tcW w:w="9741" w:type="dxa"/>
            <w:shd w:val="clear" w:color="auto" w:fill="005A9B" w:themeFill="background2"/>
          </w:tcPr>
          <w:p w:rsidR="00794990" w:rsidRPr="00956902" w:rsidRDefault="00794990" w:rsidP="001A7923">
            <w:pPr>
              <w:pStyle w:val="Tableheading"/>
              <w:rPr>
                <w:highlight w:val="yellow"/>
              </w:rPr>
            </w:pPr>
            <w:r w:rsidRPr="00956902">
              <w:t xml:space="preserve">Step 4:  Identify the amount of information required and feasible </w:t>
            </w: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auto"/>
          </w:tcPr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  <w:r w:rsidRPr="00292EC1">
              <w:rPr>
                <w:rFonts w:cs="Arial"/>
                <w:u w:val="single"/>
              </w:rPr>
              <w:t xml:space="preserve">Time available for completion </w:t>
            </w:r>
            <w:r w:rsidRPr="00292EC1">
              <w:rPr>
                <w:rFonts w:cs="Arial"/>
                <w:szCs w:val="20"/>
                <w:u w:val="single"/>
              </w:rPr>
              <w:t xml:space="preserve">of the </w:t>
            </w:r>
            <w:r w:rsidRPr="00292EC1">
              <w:rPr>
                <w:szCs w:val="20"/>
                <w:u w:val="single"/>
              </w:rPr>
              <w:t>HEA</w:t>
            </w:r>
            <w:r w:rsidRPr="00292EC1">
              <w:rPr>
                <w:rFonts w:cs="Arial"/>
              </w:rPr>
              <w:t>:</w:t>
            </w: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  <w:r w:rsidRPr="00292EC1">
              <w:rPr>
                <w:rFonts w:cs="Arial"/>
                <w:u w:val="single"/>
              </w:rPr>
              <w:t xml:space="preserve">Staff available for completion of </w:t>
            </w:r>
            <w:r w:rsidRPr="00292EC1">
              <w:rPr>
                <w:rFonts w:cs="Arial"/>
                <w:szCs w:val="20"/>
                <w:u w:val="single"/>
              </w:rPr>
              <w:t xml:space="preserve">the </w:t>
            </w:r>
            <w:r w:rsidRPr="00292EC1">
              <w:rPr>
                <w:szCs w:val="20"/>
                <w:u w:val="single"/>
              </w:rPr>
              <w:t>HEA</w:t>
            </w:r>
            <w:r w:rsidRPr="00292EC1">
              <w:rPr>
                <w:rFonts w:cs="Arial"/>
              </w:rPr>
              <w:t>:</w:t>
            </w: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  <w:r w:rsidRPr="00292EC1">
              <w:rPr>
                <w:rFonts w:cs="Arial"/>
                <w:u w:val="single"/>
              </w:rPr>
              <w:t xml:space="preserve">Create a </w:t>
            </w:r>
            <w:proofErr w:type="spellStart"/>
            <w:r w:rsidRPr="00292EC1">
              <w:rPr>
                <w:rFonts w:cs="Arial"/>
                <w:u w:val="single"/>
              </w:rPr>
              <w:t>timeplan</w:t>
            </w:r>
            <w:proofErr w:type="spellEnd"/>
            <w:r w:rsidRPr="00292EC1">
              <w:rPr>
                <w:rFonts w:cs="Arial"/>
                <w:u w:val="single"/>
              </w:rPr>
              <w:t xml:space="preserve"> for </w:t>
            </w:r>
            <w:r w:rsidRPr="00292EC1">
              <w:rPr>
                <w:rFonts w:cs="Arial"/>
                <w:szCs w:val="20"/>
                <w:u w:val="single"/>
              </w:rPr>
              <w:t xml:space="preserve">the </w:t>
            </w:r>
            <w:r w:rsidRPr="00292EC1">
              <w:rPr>
                <w:szCs w:val="20"/>
                <w:u w:val="single"/>
              </w:rPr>
              <w:t>HEA</w:t>
            </w:r>
            <w:r w:rsidRPr="00292EC1">
              <w:rPr>
                <w:rFonts w:cs="Arial"/>
              </w:rPr>
              <w:t>:</w:t>
            </w: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5"/>
              </w:numPr>
              <w:rPr>
                <w:rFonts w:cs="Arial"/>
              </w:rPr>
            </w:pPr>
            <w:r w:rsidRPr="00292EC1">
              <w:rPr>
                <w:rFonts w:cs="Arial"/>
              </w:rPr>
              <w:t>Complete ‘Step 1: Define the operational space’ by:</w:t>
            </w: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5"/>
              </w:numPr>
              <w:rPr>
                <w:rFonts w:cs="Arial"/>
              </w:rPr>
            </w:pPr>
            <w:r w:rsidRPr="00292EC1">
              <w:rPr>
                <w:rFonts w:cs="Arial"/>
              </w:rPr>
              <w:t>Complete ‘Step 2: Describe the environmental effects’ by:</w:t>
            </w: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5"/>
              </w:numPr>
              <w:rPr>
                <w:rFonts w:cs="Arial"/>
              </w:rPr>
            </w:pPr>
            <w:r w:rsidRPr="00292EC1">
              <w:rPr>
                <w:rFonts w:cs="Arial"/>
              </w:rPr>
              <w:t xml:space="preserve">Complete ‘Step 3: Evaluate hazards’ by: </w:t>
            </w:r>
          </w:p>
          <w:p w:rsidR="00794990" w:rsidRPr="00292EC1" w:rsidRDefault="00794990" w:rsidP="00794990">
            <w:pPr>
              <w:pStyle w:val="Tablenormal0"/>
              <w:numPr>
                <w:ilvl w:val="0"/>
                <w:numId w:val="35"/>
              </w:numPr>
              <w:rPr>
                <w:rFonts w:cs="Arial"/>
              </w:rPr>
            </w:pPr>
            <w:r w:rsidRPr="00292EC1">
              <w:rPr>
                <w:rFonts w:cs="Arial"/>
              </w:rPr>
              <w:t xml:space="preserve">Complete ‘Step 4: Determine hazard scenarios’ by: </w:t>
            </w:r>
          </w:p>
          <w:p w:rsidR="00794990" w:rsidRPr="000A1D27" w:rsidRDefault="00794990" w:rsidP="001A7923">
            <w:pPr>
              <w:pStyle w:val="Tablenormal0"/>
              <w:ind w:left="720"/>
              <w:rPr>
                <w:rFonts w:cs="Arial"/>
                <w:sz w:val="20"/>
              </w:rPr>
            </w:pP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005A9B" w:themeFill="background2"/>
          </w:tcPr>
          <w:p w:rsidR="00794990" w:rsidRPr="000A1D27" w:rsidRDefault="00794990" w:rsidP="001A7923">
            <w:pPr>
              <w:pStyle w:val="Tableheading"/>
              <w:rPr>
                <w:sz w:val="20"/>
              </w:rPr>
            </w:pPr>
            <w:r w:rsidRPr="000A1D27">
              <w:t xml:space="preserve">Step 5:  Evaluate existing databases  </w:t>
            </w:r>
          </w:p>
        </w:tc>
      </w:tr>
      <w:tr w:rsidR="00794990" w:rsidRPr="00956902" w:rsidTr="001A7923">
        <w:trPr>
          <w:cantSplit/>
          <w:trHeight w:val="1231"/>
        </w:trPr>
        <w:tc>
          <w:tcPr>
            <w:tcW w:w="9741" w:type="dxa"/>
            <w:shd w:val="clear" w:color="auto" w:fill="auto"/>
          </w:tcPr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  <w:r w:rsidRPr="00292EC1">
              <w:rPr>
                <w:rFonts w:cs="Arial"/>
                <w:u w:val="single"/>
              </w:rPr>
              <w:t>List available databases and other information sources</w:t>
            </w:r>
            <w:r w:rsidRPr="00292EC1">
              <w:rPr>
                <w:rFonts w:cs="Arial"/>
              </w:rPr>
              <w:t>:</w:t>
            </w: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</w:p>
          <w:p w:rsidR="00794990" w:rsidRPr="00292EC1" w:rsidRDefault="00794990" w:rsidP="001A7923">
            <w:pPr>
              <w:pStyle w:val="Tablenormal0"/>
              <w:rPr>
                <w:rFonts w:cs="Arial"/>
              </w:rPr>
            </w:pPr>
            <w:r w:rsidRPr="00292EC1">
              <w:rPr>
                <w:rFonts w:cs="Arial"/>
                <w:u w:val="single"/>
              </w:rPr>
              <w:t>Determine information gaps (compare available databases with ‘Identify significant characteristics of the environment’</w:t>
            </w:r>
            <w:r w:rsidRPr="00292EC1">
              <w:rPr>
                <w:rFonts w:cs="Arial"/>
              </w:rPr>
              <w:t>):</w:t>
            </w:r>
          </w:p>
          <w:p w:rsidR="00794990" w:rsidRPr="000A1D27" w:rsidRDefault="00794990" w:rsidP="001A7923">
            <w:pPr>
              <w:pStyle w:val="Tablenormal0"/>
              <w:rPr>
                <w:rFonts w:cs="Arial"/>
                <w:sz w:val="20"/>
              </w:rPr>
            </w:pPr>
          </w:p>
          <w:p w:rsidR="00794990" w:rsidRPr="00956902" w:rsidRDefault="00794990" w:rsidP="001A7923">
            <w:pPr>
              <w:pStyle w:val="Tablenormal0"/>
              <w:rPr>
                <w:rFonts w:cs="Arial"/>
                <w:sz w:val="20"/>
                <w:highlight w:val="yellow"/>
              </w:rPr>
            </w:pPr>
          </w:p>
        </w:tc>
      </w:tr>
      <w:tr w:rsidR="00794990" w:rsidRPr="00956902" w:rsidTr="001A7923">
        <w:trPr>
          <w:cantSplit/>
        </w:trPr>
        <w:tc>
          <w:tcPr>
            <w:tcW w:w="9741" w:type="dxa"/>
            <w:shd w:val="clear" w:color="auto" w:fill="005A9B" w:themeFill="background2"/>
          </w:tcPr>
          <w:p w:rsidR="00794990" w:rsidRPr="00956902" w:rsidRDefault="00794990" w:rsidP="001A7923">
            <w:pPr>
              <w:pStyle w:val="Tableheading"/>
              <w:rPr>
                <w:highlight w:val="yellow"/>
              </w:rPr>
            </w:pPr>
            <w:r w:rsidRPr="000A1D27">
              <w:t xml:space="preserve">Step 6:  Collect material  </w:t>
            </w:r>
          </w:p>
        </w:tc>
      </w:tr>
      <w:tr w:rsidR="00794990" w:rsidRPr="008F15A6" w:rsidTr="001A7923">
        <w:trPr>
          <w:cantSplit/>
        </w:trPr>
        <w:tc>
          <w:tcPr>
            <w:tcW w:w="9741" w:type="dxa"/>
            <w:shd w:val="clear" w:color="auto" w:fill="auto"/>
          </w:tcPr>
          <w:p w:rsidR="00794990" w:rsidRPr="00292EC1" w:rsidRDefault="00794990" w:rsidP="001A7923">
            <w:pPr>
              <w:pStyle w:val="Tablenormal0"/>
              <w:rPr>
                <w:i/>
                <w:iCs/>
                <w:color w:val="838383" w:themeColor="accent1" w:themeShade="BF"/>
                <w:sz w:val="20"/>
              </w:rPr>
            </w:pPr>
            <w:r w:rsidRPr="00292EC1">
              <w:rPr>
                <w:i/>
                <w:iCs/>
                <w:color w:val="838383" w:themeColor="accent1" w:themeShade="BF"/>
                <w:sz w:val="20"/>
              </w:rPr>
              <w:t xml:space="preserve">[Collect the information needed to proceed with the HEA. This can involve </w:t>
            </w:r>
            <w:r>
              <w:rPr>
                <w:i/>
                <w:iCs/>
                <w:color w:val="838383" w:themeColor="accent1" w:themeShade="BF"/>
                <w:sz w:val="20"/>
              </w:rPr>
              <w:t>summarising complex</w:t>
            </w:r>
            <w:r w:rsidRPr="00292EC1">
              <w:rPr>
                <w:i/>
                <w:iCs/>
                <w:color w:val="838383" w:themeColor="accent1" w:themeShade="BF"/>
                <w:sz w:val="20"/>
              </w:rPr>
              <w:t xml:space="preserve"> information, calling in liaison officers and experts, receiving answers to Information Requirements and ensuring easy access to digital databases.]</w:t>
            </w:r>
          </w:p>
          <w:p w:rsidR="00794990" w:rsidRDefault="00794990" w:rsidP="001A7923">
            <w:pPr>
              <w:pStyle w:val="Tablenormal0"/>
              <w:rPr>
                <w:rFonts w:cs="Arial"/>
                <w:sz w:val="20"/>
              </w:rPr>
            </w:pPr>
          </w:p>
          <w:p w:rsidR="00794990" w:rsidRDefault="00794990" w:rsidP="001A7923">
            <w:pPr>
              <w:pStyle w:val="Tablenormal0"/>
              <w:rPr>
                <w:rFonts w:cs="Arial"/>
                <w:sz w:val="20"/>
              </w:rPr>
            </w:pPr>
          </w:p>
          <w:p w:rsidR="00794990" w:rsidRPr="008F15A6" w:rsidRDefault="00794990" w:rsidP="001A7923">
            <w:pPr>
              <w:pStyle w:val="Tablenormal0"/>
              <w:rPr>
                <w:rFonts w:cs="Arial"/>
                <w:sz w:val="20"/>
              </w:rPr>
            </w:pPr>
          </w:p>
        </w:tc>
      </w:tr>
    </w:tbl>
    <w:p w:rsidR="004A7B3D" w:rsidRDefault="004A7B3D" w:rsidP="004A7B3D">
      <w:pPr>
        <w:spacing w:before="0" w:after="0" w:line="240" w:lineRule="auto"/>
      </w:pPr>
    </w:p>
    <w:p w:rsidR="004A7B3D" w:rsidRDefault="004A7B3D" w:rsidP="004A7B3D">
      <w:pPr>
        <w:pStyle w:val="HeadingAppendix9"/>
      </w:pPr>
      <w:r>
        <w:t>Outputs</w:t>
      </w:r>
    </w:p>
    <w:p w:rsidR="00794990" w:rsidRDefault="00794990" w:rsidP="00794990">
      <w:r>
        <w:t>At the end of this step of the HEA, the Intelligence team will have:</w:t>
      </w:r>
    </w:p>
    <w:p w:rsidR="00794990" w:rsidRDefault="00794990" w:rsidP="00794990">
      <w:pPr>
        <w:pStyle w:val="Tablebullet"/>
        <w:numPr>
          <w:ilvl w:val="0"/>
          <w:numId w:val="1"/>
        </w:numPr>
      </w:pPr>
      <w:r>
        <w:t>determined the area that it will analyse (the area of operations and the area of interest)</w:t>
      </w:r>
    </w:p>
    <w:p w:rsidR="00794990" w:rsidRDefault="00794990" w:rsidP="00794990">
      <w:pPr>
        <w:pStyle w:val="Tablebullet"/>
        <w:numPr>
          <w:ilvl w:val="0"/>
          <w:numId w:val="1"/>
        </w:numPr>
      </w:pPr>
      <w:r>
        <w:t>the characteristics that need to be analysed within those areas</w:t>
      </w:r>
    </w:p>
    <w:p w:rsidR="00794990" w:rsidRDefault="00794990" w:rsidP="00794990">
      <w:pPr>
        <w:pStyle w:val="Tablebullet"/>
        <w:numPr>
          <w:ilvl w:val="0"/>
          <w:numId w:val="1"/>
        </w:numPr>
      </w:pPr>
      <w:r>
        <w:t>the time and staff available, and therefore how detailed the analysis will be</w:t>
      </w:r>
    </w:p>
    <w:p w:rsidR="00794990" w:rsidRDefault="00794990" w:rsidP="00794990">
      <w:pPr>
        <w:pStyle w:val="Tablebullet"/>
        <w:numPr>
          <w:ilvl w:val="0"/>
          <w:numId w:val="1"/>
        </w:numPr>
      </w:pPr>
      <w:r>
        <w:t>what information is available to conduct this analysis, what is readily available, any information gaps that exist and the Information Requirements that are needed to fill those gaps, and</w:t>
      </w:r>
    </w:p>
    <w:p w:rsidR="004A7B3D" w:rsidRDefault="00794990" w:rsidP="00794990">
      <w:pPr>
        <w:pStyle w:val="Tablebullet"/>
        <w:numPr>
          <w:ilvl w:val="0"/>
          <w:numId w:val="1"/>
        </w:numPr>
      </w:pPr>
      <w:proofErr w:type="gramStart"/>
      <w:r>
        <w:t>have</w:t>
      </w:r>
      <w:proofErr w:type="gramEnd"/>
      <w:r>
        <w:t xml:space="preserve"> ready access to the information they need to proceed with the HEA.</w:t>
      </w:r>
    </w:p>
    <w:p w:rsidR="004A7B3D" w:rsidRPr="004A7B3D" w:rsidRDefault="004A7B3D" w:rsidP="004A7B3D"/>
    <w:sectPr w:rsidR="004A7B3D" w:rsidRPr="004A7B3D" w:rsidSect="007D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3D" w:rsidRDefault="004A7B3D" w:rsidP="0028688E">
      <w:pPr>
        <w:spacing w:before="0" w:after="0" w:line="240" w:lineRule="auto"/>
      </w:pPr>
      <w:r>
        <w:separator/>
      </w:r>
    </w:p>
  </w:endnote>
  <w:endnote w:type="continuationSeparator" w:id="0">
    <w:p w:rsidR="004A7B3D" w:rsidRDefault="004A7B3D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3" w:rsidRDefault="009E61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4A7B3D" w:rsidP="00855A5B">
    <w:pPr>
      <w:pStyle w:val="MCDEMfooter"/>
      <w:tabs>
        <w:tab w:val="left" w:pos="4157"/>
      </w:tabs>
    </w:pPr>
    <w:r w:rsidRPr="004A7B3D">
      <w:t>H</w:t>
    </w:r>
    <w:r w:rsidR="009E6103">
      <w:t xml:space="preserve">EA template: </w:t>
    </w:r>
    <w:r w:rsidRPr="004A7B3D">
      <w:t>Define the operational space</w:t>
    </w:r>
    <w:r w:rsidR="0028688E">
      <w:tab/>
    </w:r>
    <w:r w:rsidR="00855A5B">
      <w:tab/>
    </w:r>
    <w:r w:rsidR="0028688E">
      <w:t xml:space="preserve">Page </w:t>
    </w:r>
    <w:r w:rsidR="00843151">
      <w:fldChar w:fldCharType="begin"/>
    </w:r>
    <w:r w:rsidR="0028688E">
      <w:instrText xml:space="preserve"> PAGE   \* MERGEFORMAT </w:instrText>
    </w:r>
    <w:r w:rsidR="00843151">
      <w:fldChar w:fldCharType="separate"/>
    </w:r>
    <w:r w:rsidR="007865FC">
      <w:rPr>
        <w:noProof/>
      </w:rPr>
      <w:t>2</w:t>
    </w:r>
    <w:r w:rsidR="00843151">
      <w:rPr>
        <w:noProof/>
      </w:rPr>
      <w:fldChar w:fldCharType="end"/>
    </w:r>
    <w:r w:rsidR="0028688E">
      <w:t xml:space="preserve"> of </w:t>
    </w:r>
    <w:fldSimple w:instr=" NUMPAGES   \* MERGEFORMAT ">
      <w:r w:rsidR="007865FC">
        <w:rPr>
          <w:noProof/>
        </w:rPr>
        <w:t>2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3" w:rsidRDefault="009E6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3D" w:rsidRDefault="004A7B3D" w:rsidP="0028688E">
      <w:pPr>
        <w:spacing w:before="0" w:after="0" w:line="240" w:lineRule="auto"/>
      </w:pPr>
      <w:r>
        <w:separator/>
      </w:r>
    </w:p>
  </w:footnote>
  <w:footnote w:type="continuationSeparator" w:id="0">
    <w:p w:rsidR="004A7B3D" w:rsidRDefault="004A7B3D" w:rsidP="002868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3" w:rsidRDefault="009E61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3" w:rsidRDefault="009E61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3" w:rsidRDefault="009E61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FEF031E"/>
    <w:multiLevelType w:val="hybridMultilevel"/>
    <w:tmpl w:val="9A622E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6E0E67B6"/>
    <w:multiLevelType w:val="hybridMultilevel"/>
    <w:tmpl w:val="0E040A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A0A7A"/>
    <w:multiLevelType w:val="hybridMultilevel"/>
    <w:tmpl w:val="9E76A5B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7"/>
  </w:num>
  <w:num w:numId="3">
    <w:abstractNumId w:val="20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5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9"/>
  </w:num>
  <w:num w:numId="34">
    <w:abstractNumId w:val="13"/>
  </w:num>
  <w:num w:numId="35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A7B3D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3715F"/>
    <w:rsid w:val="00444F9D"/>
    <w:rsid w:val="004A088F"/>
    <w:rsid w:val="004A7B3D"/>
    <w:rsid w:val="004C4DA5"/>
    <w:rsid w:val="005677BE"/>
    <w:rsid w:val="00582EC5"/>
    <w:rsid w:val="005B6A6C"/>
    <w:rsid w:val="006101A7"/>
    <w:rsid w:val="00627CEC"/>
    <w:rsid w:val="006420A0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865FC"/>
    <w:rsid w:val="00794990"/>
    <w:rsid w:val="007D4F54"/>
    <w:rsid w:val="007F51FB"/>
    <w:rsid w:val="00843151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E6103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styleId="BlockText">
    <w:name w:val="Block Text"/>
    <w:basedOn w:val="Normal"/>
    <w:rsid w:val="004A7B3D"/>
    <w:pPr>
      <w:ind w:left="1440" w:right="1440"/>
    </w:pPr>
  </w:style>
  <w:style w:type="paragraph" w:customStyle="1" w:styleId="HeadingAppendix9">
    <w:name w:val="Heading Appendix 9"/>
    <w:basedOn w:val="Normal"/>
    <w:next w:val="Normal"/>
    <w:qFormat/>
    <w:rsid w:val="004A7B3D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styleId="BlockText">
    <w:name w:val="Block Text"/>
    <w:basedOn w:val="Normal"/>
    <w:rsid w:val="004A7B3D"/>
    <w:pPr>
      <w:ind w:left="1440" w:right="1440"/>
    </w:pPr>
  </w:style>
  <w:style w:type="paragraph" w:customStyle="1" w:styleId="HeadingAppendix9">
    <w:name w:val="Heading Appendix 9"/>
    <w:basedOn w:val="Normal"/>
    <w:next w:val="Normal"/>
    <w:qFormat/>
    <w:rsid w:val="004A7B3D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8E89-9167-4EC0-BFEE-386074A3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2293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HEA Template: Define the Operational Space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2015-12-02T01:30:00Z</dcterms:created>
  <dcterms:modified xsi:type="dcterms:W3CDTF">2015-12-02T01:31:00Z</dcterms:modified>
</cp:coreProperties>
</file>