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107B85" w:rsidP="007200A6">
      <w:pPr>
        <w:pStyle w:val="StyleLatinArialNarrow20ptBoldBackground2Before0p"/>
        <w:rPr>
          <w:rFonts w:eastAsiaTheme="majorEastAsia"/>
        </w:rPr>
      </w:pPr>
      <w:r w:rsidRPr="00107B85">
        <w:rPr>
          <w:rFonts w:eastAsiaTheme="majorEastAsia"/>
        </w:rPr>
        <w:t xml:space="preserve">Developing </w:t>
      </w:r>
      <w:r w:rsidR="00723718">
        <w:rPr>
          <w:rFonts w:eastAsiaTheme="majorEastAsia"/>
        </w:rPr>
        <w:t>response planning procedures</w:t>
      </w:r>
      <w:r w:rsidR="007F51FB" w:rsidRPr="007F51FB">
        <w:rPr>
          <w:rFonts w:eastAsiaTheme="majorEastAsia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7704"/>
      </w:tblGrid>
      <w:tr w:rsidR="00107B85" w:rsidRPr="00067B02" w:rsidTr="00F60FFD">
        <w:tc>
          <w:tcPr>
            <w:tcW w:w="1928" w:type="dxa"/>
            <w:tcMar>
              <w:right w:w="227" w:type="dxa"/>
            </w:tcMar>
          </w:tcPr>
          <w:p w:rsidR="00107B85" w:rsidRPr="00067B02" w:rsidRDefault="00107B85" w:rsidP="00F60FFD">
            <w:pPr>
              <w:pStyle w:val="LHcolumn"/>
            </w:pPr>
          </w:p>
        </w:tc>
        <w:tc>
          <w:tcPr>
            <w:tcW w:w="7705" w:type="dxa"/>
          </w:tcPr>
          <w:p w:rsidR="00DA16C4" w:rsidRPr="00652C47" w:rsidRDefault="00DA16C4" w:rsidP="00DA16C4">
            <w:r w:rsidRPr="00652C47">
              <w:rPr>
                <w:bCs/>
              </w:rPr>
              <w:t xml:space="preserve">Response </w:t>
            </w:r>
            <w:r w:rsidRPr="00652C47">
              <w:t>planning procedures describe what planning activities are intended to be carried out during a response, and how to prepare for them. This appendix summarises what needs to be included.</w:t>
            </w:r>
          </w:p>
          <w:p w:rsidR="00107B85" w:rsidRPr="00067B02" w:rsidRDefault="00DA16C4" w:rsidP="00F60FFD">
            <w:r w:rsidRPr="00652C47">
              <w:t xml:space="preserve">When the </w:t>
            </w:r>
            <w:r w:rsidRPr="00652C47">
              <w:rPr>
                <w:bCs/>
              </w:rPr>
              <w:t xml:space="preserve">response </w:t>
            </w:r>
            <w:r w:rsidRPr="00652C47">
              <w:t>planning procedures are pr</w:t>
            </w:r>
            <w:r w:rsidRPr="00067B02">
              <w:t xml:space="preserve">epared, </w:t>
            </w:r>
            <w:r>
              <w:t>they</w:t>
            </w:r>
            <w:r w:rsidRPr="00067B02">
              <w:t xml:space="preserve"> must be approved by the CDEM Group Manager (if planning is taking place at a Group level) or the E</w:t>
            </w:r>
            <w:bookmarkStart w:id="0" w:name="_GoBack"/>
            <w:bookmarkEnd w:id="0"/>
            <w:r w:rsidRPr="00067B02">
              <w:t>M Officer (if planning is taking place at a local level).</w:t>
            </w:r>
          </w:p>
          <w:p w:rsidR="00107B85" w:rsidRPr="00067B02" w:rsidRDefault="00107B85" w:rsidP="00F60FFD">
            <w:pPr>
              <w:pStyle w:val="Paragraphspacer"/>
            </w:pPr>
          </w:p>
        </w:tc>
      </w:tr>
    </w:tbl>
    <w:p w:rsidR="00107B85" w:rsidRPr="00067B02" w:rsidRDefault="00107B85" w:rsidP="00107B85">
      <w:pPr>
        <w:pStyle w:val="Heading7"/>
        <w:numPr>
          <w:ilvl w:val="6"/>
          <w:numId w:val="33"/>
        </w:numPr>
        <w:spacing w:before="120"/>
        <w:ind w:left="426" w:hanging="426"/>
      </w:pPr>
      <w:bookmarkStart w:id="1" w:name="_Toc392512620"/>
      <w:bookmarkStart w:id="2" w:name="_Toc432670446"/>
      <w:r w:rsidRPr="00067B02">
        <w:t>Content</w:t>
      </w:r>
      <w:bookmarkEnd w:id="1"/>
      <w:bookmarkEnd w:id="2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7704"/>
      </w:tblGrid>
      <w:tr w:rsidR="00107B85" w:rsidRPr="00067B02" w:rsidTr="00F60FFD">
        <w:tc>
          <w:tcPr>
            <w:tcW w:w="1928" w:type="dxa"/>
            <w:tcMar>
              <w:right w:w="227" w:type="dxa"/>
            </w:tcMar>
          </w:tcPr>
          <w:p w:rsidR="00107B85" w:rsidRPr="00067B02" w:rsidRDefault="00107B85" w:rsidP="00F60FFD">
            <w:pPr>
              <w:pStyle w:val="LHcolumn"/>
            </w:pPr>
            <w:r>
              <w:t>Coordination Centre</w:t>
            </w:r>
            <w:r w:rsidRPr="00067B02">
              <w:t xml:space="preserve"> structure </w:t>
            </w:r>
          </w:p>
        </w:tc>
        <w:tc>
          <w:tcPr>
            <w:tcW w:w="7705" w:type="dxa"/>
          </w:tcPr>
          <w:p w:rsidR="00DA16C4" w:rsidRPr="00067B02" w:rsidRDefault="00DA16C4" w:rsidP="00DA16C4">
            <w:r w:rsidRPr="00067B02">
              <w:t>Describe the overall Planning team structure, including:</w:t>
            </w:r>
          </w:p>
          <w:p w:rsidR="00DA16C4" w:rsidRPr="0045542A" w:rsidRDefault="00DA16C4" w:rsidP="00DA16C4">
            <w:pPr>
              <w:pStyle w:val="Bullet"/>
              <w:numPr>
                <w:ilvl w:val="0"/>
                <w:numId w:val="34"/>
              </w:numPr>
              <w:ind w:left="703"/>
            </w:pPr>
            <w:r w:rsidRPr="0045542A">
              <w:t xml:space="preserve">the </w:t>
            </w:r>
            <w:r>
              <w:t xml:space="preserve">coordination centre </w:t>
            </w:r>
            <w:r w:rsidRPr="0045542A">
              <w:t>structure</w:t>
            </w:r>
          </w:p>
          <w:p w:rsidR="00DA16C4" w:rsidRPr="0045542A" w:rsidRDefault="00DA16C4" w:rsidP="00DA16C4">
            <w:pPr>
              <w:pStyle w:val="Bullet"/>
              <w:numPr>
                <w:ilvl w:val="0"/>
                <w:numId w:val="34"/>
              </w:numPr>
              <w:ind w:left="703"/>
            </w:pPr>
            <w:r w:rsidRPr="0045542A">
              <w:t xml:space="preserve">Planning’s role within the </w:t>
            </w:r>
            <w:r>
              <w:t xml:space="preserve">coordination centre </w:t>
            </w:r>
            <w:r w:rsidRPr="0045542A">
              <w:t>structure, and</w:t>
            </w:r>
          </w:p>
          <w:p w:rsidR="00107B85" w:rsidRPr="0045542A" w:rsidRDefault="00DA16C4" w:rsidP="00DA16C4">
            <w:pPr>
              <w:pStyle w:val="Bullet"/>
              <w:numPr>
                <w:ilvl w:val="0"/>
                <w:numId w:val="34"/>
              </w:numPr>
              <w:ind w:left="703"/>
            </w:pPr>
            <w:r w:rsidRPr="0045542A">
              <w:t>Planning team structure, including function and support agency representatives who will be attached to the Planning team during a response.</w:t>
            </w:r>
          </w:p>
          <w:p w:rsidR="00107B85" w:rsidRPr="00067B02" w:rsidRDefault="00107B85" w:rsidP="00F60FFD">
            <w:pPr>
              <w:pStyle w:val="Paragraphspacer"/>
            </w:pPr>
          </w:p>
        </w:tc>
      </w:tr>
    </w:tbl>
    <w:p w:rsidR="00107B85" w:rsidRPr="00BB54F8" w:rsidRDefault="00107B85" w:rsidP="00107B85">
      <w:pPr>
        <w:pStyle w:val="Appendixnolevel"/>
      </w:pPr>
      <w:r w:rsidRPr="00BB54F8">
        <w:t>Individual Procedures</w:t>
      </w:r>
    </w:p>
    <w:tbl>
      <w:tblPr>
        <w:tblStyle w:val="TableGrid"/>
        <w:tblW w:w="96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28"/>
        <w:gridCol w:w="7705"/>
      </w:tblGrid>
      <w:tr w:rsidR="00107B85" w:rsidRPr="00067B02" w:rsidTr="00F60FFD">
        <w:tc>
          <w:tcPr>
            <w:tcW w:w="1928" w:type="dxa"/>
            <w:tcMar>
              <w:right w:w="227" w:type="dxa"/>
            </w:tcMar>
          </w:tcPr>
          <w:p w:rsidR="00107B85" w:rsidRPr="007C3477" w:rsidRDefault="00107B85" w:rsidP="00F60FFD">
            <w:pPr>
              <w:pStyle w:val="LHcolumn"/>
            </w:pPr>
          </w:p>
        </w:tc>
        <w:tc>
          <w:tcPr>
            <w:tcW w:w="7705" w:type="dxa"/>
          </w:tcPr>
          <w:p w:rsidR="00107B85" w:rsidRDefault="00107B85" w:rsidP="0003385E">
            <w:r w:rsidRPr="007C3477">
              <w:t xml:space="preserve">Include the processes and documentation </w:t>
            </w:r>
            <w:r w:rsidR="0003385E">
              <w:t xml:space="preserve">identified in the Response Planning in CDEM Director’s </w:t>
            </w:r>
            <w:r w:rsidR="0003385E" w:rsidRPr="0003385E">
              <w:t>Guideline</w:t>
            </w:r>
            <w:r w:rsidRPr="0003385E">
              <w:t xml:space="preserve"> </w:t>
            </w:r>
            <w:r w:rsidR="0003385E" w:rsidRPr="0003385E">
              <w:t>(</w:t>
            </w:r>
            <w:r w:rsidRPr="0003385E">
              <w:t>Section 4</w:t>
            </w:r>
            <w:r w:rsidR="0003385E" w:rsidRPr="0003385E">
              <w:t>,</w:t>
            </w:r>
            <w:r w:rsidRPr="0003385E">
              <w:t xml:space="preserve"> Readiness</w:t>
            </w:r>
            <w:r w:rsidR="0003385E" w:rsidRPr="0003385E">
              <w:t>)</w:t>
            </w:r>
            <w:r w:rsidRPr="0003385E">
              <w:t>. This</w:t>
            </w:r>
            <w:r>
              <w:t xml:space="preserve"> can be </w:t>
            </w:r>
            <w:r w:rsidRPr="007C3477">
              <w:t xml:space="preserve">as descriptions with references, or as complete documents as appendices (see </w:t>
            </w:r>
            <w:r w:rsidRPr="0003385E">
              <w:t>Appendix E</w:t>
            </w:r>
            <w:r w:rsidR="0003385E">
              <w:t>,</w:t>
            </w:r>
            <w:r w:rsidRPr="0003385E">
              <w:t xml:space="preserve"> Planning readiness checklist </w:t>
            </w:r>
            <w:r w:rsidRPr="007C3477">
              <w:t xml:space="preserve">for a full list). This </w:t>
            </w:r>
            <w:r>
              <w:t>should</w:t>
            </w:r>
            <w:r w:rsidRPr="007C3477">
              <w:t xml:space="preserve"> include the items listed in </w:t>
            </w:r>
            <w:r>
              <w:t xml:space="preserve">Table </w:t>
            </w:r>
            <w:r>
              <w:rPr>
                <w:noProof/>
              </w:rPr>
              <w:t>1</w:t>
            </w:r>
            <w:r>
              <w:t xml:space="preserve"> </w:t>
            </w:r>
            <w:r w:rsidRPr="007C3477">
              <w:t xml:space="preserve">and </w:t>
            </w:r>
            <w:r>
              <w:t xml:space="preserve">Table </w:t>
            </w:r>
            <w:r>
              <w:rPr>
                <w:noProof/>
              </w:rPr>
              <w:t>2</w:t>
            </w:r>
            <w:r w:rsidRPr="007C3477">
              <w:t>.</w:t>
            </w:r>
          </w:p>
          <w:p w:rsidR="0003385E" w:rsidRPr="007C3477" w:rsidRDefault="0003385E" w:rsidP="0003385E">
            <w:r>
              <w:t xml:space="preserve">Note: All references are to sections in the </w:t>
            </w:r>
            <w:r w:rsidRPr="0003385E">
              <w:rPr>
                <w:i/>
              </w:rPr>
              <w:t>Response Planning in CDEM Director’s Guideline</w:t>
            </w:r>
            <w:r>
              <w:rPr>
                <w:i/>
              </w:rPr>
              <w:t>.</w:t>
            </w:r>
          </w:p>
        </w:tc>
      </w:tr>
    </w:tbl>
    <w:p w:rsidR="00107B85" w:rsidRDefault="00107B85" w:rsidP="00107B85">
      <w:pPr>
        <w:pStyle w:val="Caption"/>
        <w:keepNext/>
      </w:pPr>
      <w:bookmarkStart w:id="3" w:name="_Ref434232545"/>
      <w:bookmarkStart w:id="4" w:name="_Ref434232535"/>
      <w:r>
        <w:t xml:space="preserve">Table </w:t>
      </w:r>
      <w:r>
        <w:rPr>
          <w:noProof/>
        </w:rPr>
        <w:t>1</w:t>
      </w:r>
      <w:bookmarkEnd w:id="3"/>
      <w:r w:rsidRPr="00107B85">
        <w:t xml:space="preserve"> </w:t>
      </w:r>
      <w:r w:rsidRPr="007C3477">
        <w:t>Procedures to include</w:t>
      </w:r>
      <w:bookmarkEnd w:id="4"/>
    </w:p>
    <w:tbl>
      <w:tblPr>
        <w:tblStyle w:val="TableGrid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Look w:val="04A0"/>
      </w:tblPr>
      <w:tblGrid>
        <w:gridCol w:w="2127"/>
        <w:gridCol w:w="7512"/>
      </w:tblGrid>
      <w:tr w:rsidR="00107B85" w:rsidRPr="00067B02" w:rsidTr="00F60FFD">
        <w:trPr>
          <w:cantSplit/>
          <w:tblHeader/>
        </w:trPr>
        <w:tc>
          <w:tcPr>
            <w:tcW w:w="2127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107B85" w:rsidRPr="00067B02" w:rsidRDefault="00107B85" w:rsidP="00F60FFD">
            <w:pPr>
              <w:pStyle w:val="Tableheading"/>
            </w:pPr>
            <w:r w:rsidRPr="00067B02">
              <w:t>Topic</w:t>
            </w:r>
          </w:p>
        </w:tc>
        <w:tc>
          <w:tcPr>
            <w:tcW w:w="7512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107B85" w:rsidRPr="00067B02" w:rsidRDefault="00107B85" w:rsidP="00F60FFD">
            <w:pPr>
              <w:pStyle w:val="Tableheading"/>
            </w:pPr>
            <w:r w:rsidRPr="00067B02">
              <w:t>Content to include</w:t>
            </w:r>
          </w:p>
        </w:tc>
      </w:tr>
      <w:tr w:rsidR="00107B85" w:rsidRPr="00067B02" w:rsidTr="00F60FFD">
        <w:trPr>
          <w:cantSplit/>
        </w:trPr>
        <w:tc>
          <w:tcPr>
            <w:tcW w:w="212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BB54F8" w:rsidRDefault="00107B85" w:rsidP="00F60FFD">
            <w:pPr>
              <w:pStyle w:val="Tablenormal0"/>
            </w:pPr>
            <w:r w:rsidRPr="00BB54F8">
              <w:t>Role descriptions</w:t>
            </w:r>
          </w:p>
        </w:tc>
        <w:tc>
          <w:tcPr>
            <w:tcW w:w="7512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BB54F8" w:rsidRDefault="00107B85" w:rsidP="0003385E">
            <w:pPr>
              <w:pStyle w:val="Tablenormal0"/>
            </w:pPr>
            <w:r>
              <w:t>Role</w:t>
            </w:r>
            <w:r w:rsidRPr="00BB54F8">
              <w:t xml:space="preserve"> descriptions of all positions in </w:t>
            </w:r>
            <w:r>
              <w:t>Planning, including support agency representatives</w:t>
            </w:r>
          </w:p>
        </w:tc>
      </w:tr>
      <w:tr w:rsidR="00107B85" w:rsidRPr="00067B02" w:rsidTr="00F60FFD">
        <w:trPr>
          <w:cantSplit/>
        </w:trPr>
        <w:tc>
          <w:tcPr>
            <w:tcW w:w="212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7B35B8" w:rsidRDefault="00107B85" w:rsidP="00F60FFD">
            <w:pPr>
              <w:pStyle w:val="Tablenormal0"/>
            </w:pPr>
            <w:r w:rsidRPr="007B35B8">
              <w:t>Planning process</w:t>
            </w:r>
          </w:p>
        </w:tc>
        <w:tc>
          <w:tcPr>
            <w:tcW w:w="7512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7B35B8" w:rsidRDefault="00107B85" w:rsidP="0003385E">
            <w:pPr>
              <w:pStyle w:val="Tablenormal0"/>
            </w:pPr>
            <w:r w:rsidRPr="007B35B8">
              <w:t xml:space="preserve">Based on the planning process in </w:t>
            </w:r>
            <w:r w:rsidRPr="0003385E">
              <w:t xml:space="preserve">Section 3 </w:t>
            </w:r>
            <w:r w:rsidRPr="0003385E">
              <w:rPr>
                <w:i/>
              </w:rPr>
              <w:t>Planning processes</w:t>
            </w:r>
            <w:r w:rsidR="0003385E">
              <w:t>.</w:t>
            </w:r>
          </w:p>
        </w:tc>
      </w:tr>
      <w:tr w:rsidR="00107B85" w:rsidRPr="00067B02" w:rsidTr="00F60FFD">
        <w:trPr>
          <w:cantSplit/>
        </w:trPr>
        <w:tc>
          <w:tcPr>
            <w:tcW w:w="212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5A7982" w:rsidRDefault="00107B85" w:rsidP="00F60FFD">
            <w:pPr>
              <w:pStyle w:val="Tablenormal0"/>
            </w:pPr>
            <w:r w:rsidRPr="005A7982">
              <w:t>Hazard and Environment Analysis (HEA)</w:t>
            </w:r>
          </w:p>
        </w:tc>
        <w:tc>
          <w:tcPr>
            <w:tcW w:w="7512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5A7982" w:rsidRDefault="00107B85" w:rsidP="00107B85">
            <w:pPr>
              <w:pStyle w:val="Tablebullet"/>
              <w:numPr>
                <w:ilvl w:val="0"/>
                <w:numId w:val="1"/>
              </w:numPr>
            </w:pPr>
            <w:r w:rsidRPr="005A7982">
              <w:t xml:space="preserve">This should be placed in the </w:t>
            </w:r>
            <w:r w:rsidRPr="005A7982">
              <w:rPr>
                <w:i/>
              </w:rPr>
              <w:t>Intelligence</w:t>
            </w:r>
            <w:r w:rsidRPr="005A7982">
              <w:t xml:space="preserve"> </w:t>
            </w:r>
            <w:r w:rsidRPr="005A7982">
              <w:rPr>
                <w:i/>
              </w:rPr>
              <w:t>CDEM Plan</w:t>
            </w:r>
            <w:r w:rsidRPr="005A7982">
              <w:t>, as it is an intelligence process.</w:t>
            </w:r>
          </w:p>
          <w:p w:rsidR="00107B85" w:rsidRPr="005A7982" w:rsidRDefault="00107B85" w:rsidP="0003385E">
            <w:pPr>
              <w:pStyle w:val="Tablebullet"/>
              <w:numPr>
                <w:ilvl w:val="0"/>
                <w:numId w:val="1"/>
              </w:numPr>
            </w:pPr>
            <w:r w:rsidRPr="005A7982">
              <w:t xml:space="preserve">Whichever document it is included in, it should be based on </w:t>
            </w:r>
            <w:r>
              <w:t xml:space="preserve">the process </w:t>
            </w:r>
            <w:r w:rsidRPr="0003385E">
              <w:t xml:space="preserve">in Appendix A </w:t>
            </w:r>
            <w:r w:rsidRPr="0003385E">
              <w:rPr>
                <w:i/>
              </w:rPr>
              <w:t>Hazard and Environment Analysis (HEA)</w:t>
            </w:r>
            <w:r w:rsidR="0003385E">
              <w:t>.</w:t>
            </w:r>
          </w:p>
        </w:tc>
      </w:tr>
      <w:tr w:rsidR="00107B85" w:rsidRPr="00067B02" w:rsidTr="00AD6385">
        <w:trPr>
          <w:cantSplit/>
        </w:trPr>
        <w:tc>
          <w:tcPr>
            <w:tcW w:w="2127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107B85" w:rsidRPr="007C3477" w:rsidRDefault="00107B85" w:rsidP="00F60FFD">
            <w:pPr>
              <w:pStyle w:val="Tablenormal0"/>
            </w:pPr>
            <w:r>
              <w:t>Activation procedure</w:t>
            </w:r>
          </w:p>
        </w:tc>
        <w:tc>
          <w:tcPr>
            <w:tcW w:w="7512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107B85" w:rsidRPr="0003385E" w:rsidRDefault="00107B85" w:rsidP="0003385E">
            <w:pPr>
              <w:pStyle w:val="Tablenormal0"/>
            </w:pPr>
            <w:r w:rsidRPr="0003385E">
              <w:t xml:space="preserve">See Appendix F </w:t>
            </w:r>
            <w:r w:rsidRPr="0003385E">
              <w:rPr>
                <w:i/>
              </w:rPr>
              <w:t>Planning response procedure</w:t>
            </w:r>
            <w:r w:rsidR="0003385E">
              <w:t>.</w:t>
            </w:r>
          </w:p>
        </w:tc>
      </w:tr>
    </w:tbl>
    <w:p w:rsidR="00107B85" w:rsidRDefault="00107B85" w:rsidP="00107B85">
      <w:pPr>
        <w:pStyle w:val="Caption"/>
        <w:keepNext/>
      </w:pPr>
      <w:bookmarkStart w:id="5" w:name="_Ref434232555"/>
      <w:r>
        <w:t xml:space="preserve">Table </w:t>
      </w:r>
      <w:r>
        <w:rPr>
          <w:noProof/>
        </w:rPr>
        <w:t>2</w:t>
      </w:r>
      <w:bookmarkEnd w:id="5"/>
      <w:r>
        <w:t xml:space="preserve"> </w:t>
      </w:r>
      <w:r w:rsidRPr="007C3477">
        <w:t>Appendices to include</w:t>
      </w:r>
    </w:p>
    <w:tbl>
      <w:tblPr>
        <w:tblStyle w:val="TableGrid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Look w:val="04A0"/>
      </w:tblPr>
      <w:tblGrid>
        <w:gridCol w:w="1985"/>
        <w:gridCol w:w="7654"/>
      </w:tblGrid>
      <w:tr w:rsidR="00107B85" w:rsidRPr="00067B02" w:rsidTr="00F60FFD">
        <w:trPr>
          <w:cantSplit/>
          <w:tblHeader/>
        </w:trPr>
        <w:tc>
          <w:tcPr>
            <w:tcW w:w="1985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107B85" w:rsidRPr="00067B02" w:rsidRDefault="00107B85" w:rsidP="00F60FFD">
            <w:pPr>
              <w:pStyle w:val="Tableheading"/>
            </w:pPr>
            <w:r w:rsidRPr="00067B02">
              <w:t>Appendices</w:t>
            </w:r>
          </w:p>
        </w:tc>
        <w:tc>
          <w:tcPr>
            <w:tcW w:w="7654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107B85" w:rsidRPr="00067B02" w:rsidRDefault="00107B85" w:rsidP="00F60FFD">
            <w:pPr>
              <w:pStyle w:val="Tableheading"/>
            </w:pPr>
            <w:r w:rsidRPr="00067B02">
              <w:t>Content to include</w:t>
            </w:r>
          </w:p>
        </w:tc>
      </w:tr>
      <w:tr w:rsidR="00107B85" w:rsidRPr="00067B02" w:rsidTr="00F60FFD">
        <w:trPr>
          <w:cantSplit/>
        </w:trPr>
        <w:tc>
          <w:tcPr>
            <w:tcW w:w="198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7C3477" w:rsidRDefault="00107B85" w:rsidP="00F60FFD">
            <w:pPr>
              <w:pStyle w:val="Tablenormal0"/>
            </w:pPr>
            <w:r w:rsidRPr="007C3477">
              <w:t>Templates</w:t>
            </w:r>
          </w:p>
        </w:tc>
        <w:tc>
          <w:tcPr>
            <w:tcW w:w="765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07B85" w:rsidRPr="0003385E" w:rsidRDefault="00107B85" w:rsidP="0003385E">
            <w:pPr>
              <w:pStyle w:val="Tablenormal0"/>
            </w:pPr>
            <w:r w:rsidRPr="0003385E">
              <w:t xml:space="preserve">See Appendix C </w:t>
            </w:r>
            <w:r w:rsidRPr="0003385E">
              <w:rPr>
                <w:rStyle w:val="CrossreferenceChar"/>
                <w:color w:val="auto"/>
                <w:u w:val="none"/>
              </w:rPr>
              <w:t>Templates</w:t>
            </w:r>
            <w:r w:rsidR="0003385E" w:rsidRPr="0003385E">
              <w:rPr>
                <w:rStyle w:val="CrossreferenceChar"/>
                <w:i w:val="0"/>
                <w:color w:val="auto"/>
                <w:u w:val="none"/>
              </w:rPr>
              <w:t>.</w:t>
            </w:r>
          </w:p>
        </w:tc>
      </w:tr>
      <w:tr w:rsidR="00107B85" w:rsidRPr="00067B02" w:rsidTr="00AD6385">
        <w:trPr>
          <w:cantSplit/>
        </w:trPr>
        <w:tc>
          <w:tcPr>
            <w:tcW w:w="1985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107B85" w:rsidRPr="00067B02" w:rsidRDefault="00107B85" w:rsidP="00F60FFD">
            <w:pPr>
              <w:pStyle w:val="Tablenormal0"/>
              <w:rPr>
                <w:highlight w:val="yellow"/>
              </w:rPr>
            </w:pPr>
            <w:r>
              <w:t>Databases</w:t>
            </w:r>
          </w:p>
        </w:tc>
        <w:tc>
          <w:tcPr>
            <w:tcW w:w="7654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107B85" w:rsidRPr="0003385E" w:rsidRDefault="00107B85" w:rsidP="0003385E">
            <w:pPr>
              <w:pStyle w:val="Tablenormal0"/>
            </w:pPr>
            <w:r w:rsidRPr="0003385E">
              <w:t xml:space="preserve">See </w:t>
            </w:r>
            <w:r w:rsidR="0003385E">
              <w:t>S</w:t>
            </w:r>
            <w:r w:rsidRPr="0003385E">
              <w:t xml:space="preserve">ection 4.1 </w:t>
            </w:r>
            <w:r w:rsidRPr="0003385E">
              <w:rPr>
                <w:i/>
              </w:rPr>
              <w:t>Gathering information</w:t>
            </w:r>
            <w:r w:rsidR="0003385E" w:rsidRPr="0003385E">
              <w:t>.</w:t>
            </w:r>
          </w:p>
        </w:tc>
      </w:tr>
    </w:tbl>
    <w:p w:rsidR="00107B85" w:rsidRPr="00107B85" w:rsidRDefault="00107B85" w:rsidP="00107B85"/>
    <w:sectPr w:rsidR="00107B85" w:rsidRPr="00107B85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85" w:rsidRDefault="00107B85" w:rsidP="0028688E">
      <w:pPr>
        <w:spacing w:before="0" w:after="0" w:line="240" w:lineRule="auto"/>
      </w:pPr>
      <w:r>
        <w:separator/>
      </w:r>
    </w:p>
  </w:endnote>
  <w:endnote w:type="continuationSeparator" w:id="0">
    <w:p w:rsidR="00107B85" w:rsidRDefault="00107B85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107B85" w:rsidP="00855A5B">
    <w:pPr>
      <w:pStyle w:val="MCDEMfooter"/>
      <w:tabs>
        <w:tab w:val="left" w:pos="4157"/>
      </w:tabs>
    </w:pPr>
    <w:r w:rsidRPr="00107B85">
      <w:t>Developing a Response Planning CDEM Plan</w:t>
    </w:r>
    <w:r w:rsidR="0028688E">
      <w:tab/>
    </w:r>
    <w:r w:rsidR="00855A5B">
      <w:tab/>
    </w:r>
    <w:r w:rsidR="0028688E">
      <w:t xml:space="preserve">Page </w:t>
    </w:r>
    <w:r w:rsidR="00915B79">
      <w:fldChar w:fldCharType="begin"/>
    </w:r>
    <w:r w:rsidR="0028688E">
      <w:instrText xml:space="preserve"> PAGE   \* MERGEFORMAT </w:instrText>
    </w:r>
    <w:r w:rsidR="00915B79">
      <w:fldChar w:fldCharType="separate"/>
    </w:r>
    <w:r w:rsidR="000A4C5B">
      <w:rPr>
        <w:noProof/>
      </w:rPr>
      <w:t>1</w:t>
    </w:r>
    <w:r w:rsidR="00915B79">
      <w:rPr>
        <w:noProof/>
      </w:rPr>
      <w:fldChar w:fldCharType="end"/>
    </w:r>
    <w:r w:rsidR="0028688E">
      <w:t xml:space="preserve"> of </w:t>
    </w:r>
    <w:fldSimple w:instr=" NUMPAGES   \* MERGEFORMAT ">
      <w:r w:rsidR="000A4C5B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85" w:rsidRDefault="00107B85" w:rsidP="0028688E">
      <w:pPr>
        <w:spacing w:before="0" w:after="0" w:line="240" w:lineRule="auto"/>
      </w:pPr>
      <w:r>
        <w:separator/>
      </w:r>
    </w:p>
  </w:footnote>
  <w:footnote w:type="continuationSeparator" w:id="0">
    <w:p w:rsidR="00107B85" w:rsidRDefault="00107B85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83F3EAF"/>
    <w:multiLevelType w:val="multilevel"/>
    <w:tmpl w:val="F16EA9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7B63C8"/>
    <w:multiLevelType w:val="multilevel"/>
    <w:tmpl w:val="A79ED950"/>
    <w:numStyleLink w:val="MCDEMbullet"/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7"/>
  </w:num>
  <w:num w:numId="3">
    <w:abstractNumId w:val="18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3"/>
  </w:num>
  <w:num w:numId="19">
    <w:abstractNumId w:val="8"/>
  </w:num>
  <w:num w:numId="20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4"/>
  </w:num>
  <w:num w:numId="26">
    <w:abstractNumId w:val="12"/>
  </w:num>
  <w:num w:numId="27">
    <w:abstractNumId w:val="2"/>
  </w:num>
  <w:num w:numId="28">
    <w:abstractNumId w:val="2"/>
  </w:num>
  <w:num w:numId="29">
    <w:abstractNumId w:val="15"/>
  </w:num>
  <w:num w:numId="30">
    <w:abstractNumId w:val="3"/>
  </w:num>
  <w:num w:numId="31">
    <w:abstractNumId w:val="5"/>
  </w:num>
  <w:num w:numId="32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0"/>
  </w:num>
  <w:num w:numId="34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07B85"/>
    <w:rsid w:val="00003E8D"/>
    <w:rsid w:val="0003385E"/>
    <w:rsid w:val="00033DD1"/>
    <w:rsid w:val="00073147"/>
    <w:rsid w:val="000765B8"/>
    <w:rsid w:val="000A4C5B"/>
    <w:rsid w:val="000F7763"/>
    <w:rsid w:val="001026B1"/>
    <w:rsid w:val="00107B85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23718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15B79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D6385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D434DE"/>
    <w:rsid w:val="00DA16C4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uiPriority w:val="9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uiPriority w:val="9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uiPriority w:val="99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Paragraphspacer">
    <w:name w:val="Paragraph spacer"/>
    <w:basedOn w:val="Normal"/>
    <w:qFormat/>
    <w:rsid w:val="00107B85"/>
    <w:pPr>
      <w:spacing w:before="0" w:after="0" w:line="240" w:lineRule="auto"/>
    </w:pPr>
    <w:rPr>
      <w:sz w:val="24"/>
    </w:rPr>
  </w:style>
  <w:style w:type="paragraph" w:customStyle="1" w:styleId="Appendixnolevel">
    <w:name w:val="Appendix no level"/>
    <w:basedOn w:val="Normal"/>
    <w:qFormat/>
    <w:rsid w:val="00107B85"/>
    <w:pPr>
      <w:pBdr>
        <w:bottom w:val="single" w:sz="6" w:space="1" w:color="AFAFAF" w:themeColor="accent1"/>
      </w:pBdr>
      <w:spacing w:before="40" w:after="40"/>
    </w:pPr>
    <w:rPr>
      <w:rFonts w:ascii="Arial Narrow" w:hAnsi="Arial Narrow"/>
      <w:b/>
      <w:color w:val="005A9B" w:themeColor="background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uiPriority w:val="9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uiPriority w:val="9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uiPriority w:val="99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Paragraphspacer">
    <w:name w:val="Paragraph spacer"/>
    <w:basedOn w:val="Normal"/>
    <w:qFormat/>
    <w:rsid w:val="00107B85"/>
    <w:pPr>
      <w:spacing w:before="0" w:after="0" w:line="240" w:lineRule="auto"/>
    </w:pPr>
    <w:rPr>
      <w:sz w:val="24"/>
    </w:rPr>
  </w:style>
  <w:style w:type="paragraph" w:customStyle="1" w:styleId="Appendixnolevel">
    <w:name w:val="Appendix no level"/>
    <w:basedOn w:val="Normal"/>
    <w:qFormat/>
    <w:rsid w:val="00107B85"/>
    <w:pPr>
      <w:pBdr>
        <w:bottom w:val="single" w:sz="6" w:space="1" w:color="AFAFAF" w:themeColor="accent1"/>
      </w:pBdr>
      <w:spacing w:before="40" w:after="40"/>
    </w:pPr>
    <w:rPr>
      <w:rFonts w:ascii="Arial Narrow" w:hAnsi="Arial Narrow"/>
      <w:b/>
      <w:color w:val="005A9B" w:themeColor="background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0080-5930-4706-B807-5C299762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Developing response planning procedures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2015-12-02T01:42:00Z</dcterms:created>
  <dcterms:modified xsi:type="dcterms:W3CDTF">2015-12-02T01:43:00Z</dcterms:modified>
</cp:coreProperties>
</file>