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DB0359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Detailed Planning – Options Development template</w:t>
      </w:r>
      <w:r w:rsidR="007F51FB" w:rsidRPr="007F51FB">
        <w:rPr>
          <w:rFonts w:eastAsiaTheme="majorEastAsia"/>
        </w:rPr>
        <w:t xml:space="preserve"> </w:t>
      </w:r>
    </w:p>
    <w:p w:rsidR="00860B60" w:rsidRPr="008C2C1D" w:rsidRDefault="00860B60" w:rsidP="00860B60">
      <w:r w:rsidRPr="008C2C1D">
        <w:t xml:space="preserve">This template has been developed to assist with the </w:t>
      </w:r>
      <w:r>
        <w:t>Options Development</w:t>
      </w:r>
      <w:r w:rsidRPr="008C2C1D">
        <w:t xml:space="preserve"> </w:t>
      </w:r>
      <w:r>
        <w:t xml:space="preserve">step of the detailed planning process. </w:t>
      </w:r>
      <w:r w:rsidRPr="008C2C1D">
        <w:t>It should be used to record the Planning team’s analysis and conclusions, and as an agenda for each planning meeting.</w:t>
      </w:r>
    </w:p>
    <w:p w:rsidR="00DB0359" w:rsidRDefault="00860B60" w:rsidP="00860B60">
      <w:r w:rsidRPr="008C2C1D">
        <w:t>The template consists of a seri</w:t>
      </w:r>
      <w:r>
        <w:t xml:space="preserve">es of questions for each step. </w:t>
      </w:r>
      <w:r w:rsidRPr="008C2C1D">
        <w:t>The aim is to discuss the questions, recording the conclusion</w:t>
      </w:r>
      <w:r>
        <w:t xml:space="preserve">s reached from the discussion. </w:t>
      </w:r>
      <w:r w:rsidRPr="008C2C1D">
        <w:t xml:space="preserve">The final step is for the Planning </w:t>
      </w:r>
      <w:r>
        <w:t>t</w:t>
      </w:r>
      <w:r w:rsidRPr="008C2C1D">
        <w:t>eam to brief the Controller on its deductions</w:t>
      </w:r>
      <w:r>
        <w:t>.</w:t>
      </w:r>
    </w:p>
    <w:p w:rsidR="00DB0359" w:rsidRPr="00B224D1" w:rsidRDefault="00DB0359" w:rsidP="00DB0359">
      <w:pPr>
        <w:pStyle w:val="HeadingAppendix9"/>
      </w:pPr>
      <w:r w:rsidRPr="00B224D1">
        <w:t>Inputs</w:t>
      </w:r>
    </w:p>
    <w:p w:rsidR="00860B60" w:rsidRPr="008C2C1D" w:rsidRDefault="00860B60" w:rsidP="001A7923">
      <w:r w:rsidRPr="008C2C1D">
        <w:t xml:space="preserve">The main inputs into </w:t>
      </w:r>
      <w:r>
        <w:t>Options Development are:</w:t>
      </w:r>
    </w:p>
    <w:p w:rsidR="00860B60" w:rsidRPr="00793E67" w:rsidRDefault="00860B60" w:rsidP="00860B60">
      <w:pPr>
        <w:pStyle w:val="Tablebullet"/>
        <w:numPr>
          <w:ilvl w:val="0"/>
          <w:numId w:val="1"/>
        </w:numPr>
      </w:pPr>
      <w:r w:rsidRPr="00793E67">
        <w:t>Controller’s guidance from Objective Analysis</w:t>
      </w:r>
    </w:p>
    <w:p w:rsidR="00860B60" w:rsidRPr="00793E67" w:rsidRDefault="00860B60" w:rsidP="00860B60">
      <w:pPr>
        <w:pStyle w:val="Tablebullet"/>
        <w:numPr>
          <w:ilvl w:val="0"/>
          <w:numId w:val="1"/>
        </w:numPr>
      </w:pPr>
      <w:r w:rsidRPr="00793E67">
        <w:t>Objective Analysis</w:t>
      </w:r>
      <w:r>
        <w:t xml:space="preserve"> conclusions</w:t>
      </w:r>
    </w:p>
    <w:p w:rsidR="00860B60" w:rsidRPr="00793E67" w:rsidRDefault="00860B60" w:rsidP="00860B60">
      <w:pPr>
        <w:pStyle w:val="Tablebullet"/>
        <w:numPr>
          <w:ilvl w:val="0"/>
          <w:numId w:val="1"/>
        </w:numPr>
      </w:pPr>
      <w:r w:rsidRPr="00793E67">
        <w:t>List of Information Requirements</w:t>
      </w:r>
    </w:p>
    <w:p w:rsidR="00860B60" w:rsidRPr="00793E67" w:rsidRDefault="00860B60" w:rsidP="00860B60">
      <w:pPr>
        <w:pStyle w:val="Tablebullet"/>
        <w:numPr>
          <w:ilvl w:val="0"/>
          <w:numId w:val="1"/>
        </w:numPr>
      </w:pPr>
      <w:r>
        <w:t>HEA</w:t>
      </w:r>
      <w:r w:rsidRPr="00793E67">
        <w:t xml:space="preserve"> data</w:t>
      </w:r>
    </w:p>
    <w:p w:rsidR="00DB0359" w:rsidRDefault="00860B60" w:rsidP="00DB0359">
      <w:pPr>
        <w:pStyle w:val="Tablebullet"/>
        <w:numPr>
          <w:ilvl w:val="0"/>
          <w:numId w:val="1"/>
        </w:numPr>
      </w:pPr>
      <w:r w:rsidRPr="00793E67">
        <w:t>Situation information</w:t>
      </w:r>
      <w:r>
        <w:t>.</w:t>
      </w:r>
    </w:p>
    <w:p w:rsidR="00860B60" w:rsidRDefault="00860B60" w:rsidP="00860B60">
      <w:pPr>
        <w:pStyle w:val="Spacer"/>
      </w:pPr>
    </w:p>
    <w:tbl>
      <w:tblPr>
        <w:tblW w:w="5000" w:type="pct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860B60" w:rsidRPr="00B224D1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860B60" w:rsidRPr="00C834FD" w:rsidRDefault="00860B60" w:rsidP="001A7923">
            <w:pPr>
              <w:pStyle w:val="Tableheading"/>
              <w:rPr>
                <w:rFonts w:cs="Arial"/>
                <w:highlight w:val="yellow"/>
              </w:rPr>
            </w:pPr>
            <w:r w:rsidRPr="007C03E5">
              <w:t>Step 1: Situation Update</w:t>
            </w:r>
          </w:p>
        </w:tc>
      </w:tr>
      <w:tr w:rsidR="00860B60" w:rsidRPr="008C2C1D" w:rsidTr="001A7923">
        <w:trPr>
          <w:cantSplit/>
        </w:trPr>
        <w:tc>
          <w:tcPr>
            <w:tcW w:w="5000" w:type="pct"/>
            <w:shd w:val="clear" w:color="auto" w:fill="auto"/>
          </w:tcPr>
          <w:p w:rsidR="00860B60" w:rsidRDefault="00860B60" w:rsidP="001A7923">
            <w:pPr>
              <w:pStyle w:val="Tablenormal0"/>
              <w:rPr>
                <w:sz w:val="20"/>
                <w:szCs w:val="20"/>
              </w:rPr>
            </w:pPr>
            <w:r w:rsidRPr="007C03E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Planning team representatives update each other on any changes in their function or agency areas:</w:t>
            </w:r>
          </w:p>
          <w:p w:rsidR="00860B60" w:rsidRPr="003C1BEB" w:rsidRDefault="00860B60" w:rsidP="00860B60">
            <w:pPr>
              <w:pStyle w:val="Tablenumbering"/>
              <w:numPr>
                <w:ilvl w:val="0"/>
                <w:numId w:val="35"/>
              </w:numPr>
              <w:ind w:left="360" w:hanging="360"/>
              <w:rPr>
                <w:sz w:val="20"/>
                <w:szCs w:val="20"/>
              </w:rPr>
            </w:pPr>
            <w:r w:rsidRPr="003C1BEB">
              <w:rPr>
                <w:sz w:val="20"/>
                <w:szCs w:val="20"/>
              </w:rPr>
              <w:t>Planning timeline (Planning rep)</w:t>
            </w:r>
          </w:p>
          <w:p w:rsidR="00860B60" w:rsidRPr="007C03E5" w:rsidRDefault="00860B60" w:rsidP="00860B60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7C03E5">
              <w:rPr>
                <w:sz w:val="20"/>
                <w:szCs w:val="20"/>
              </w:rPr>
              <w:t xml:space="preserve">Hazard and environment information (Intelligence rep):  </w:t>
            </w:r>
          </w:p>
          <w:p w:rsidR="00860B60" w:rsidRPr="007C03E5" w:rsidRDefault="00860B60" w:rsidP="00860B60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</w:t>
            </w:r>
            <w:r w:rsidRPr="007C03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situation </w:t>
            </w:r>
            <w:r w:rsidRPr="007C03E5">
              <w:rPr>
                <w:sz w:val="20"/>
                <w:szCs w:val="20"/>
              </w:rPr>
              <w:t xml:space="preserve">changes (Operations/Welfare reps):  </w:t>
            </w:r>
          </w:p>
          <w:p w:rsidR="00860B60" w:rsidRPr="007C03E5" w:rsidRDefault="00860B60" w:rsidP="00860B60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7C03E5">
              <w:rPr>
                <w:sz w:val="20"/>
                <w:szCs w:val="20"/>
              </w:rPr>
              <w:t xml:space="preserve">Resource changes (Logistics rep and Liaison Officers):  </w:t>
            </w:r>
          </w:p>
          <w:p w:rsidR="00860B60" w:rsidRPr="007C03E5" w:rsidRDefault="00860B60" w:rsidP="00860B60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7C03E5">
              <w:rPr>
                <w:sz w:val="20"/>
                <w:szCs w:val="20"/>
              </w:rPr>
              <w:t>Media changes (PIM rep)</w:t>
            </w:r>
          </w:p>
          <w:p w:rsidR="00860B60" w:rsidRPr="007C03E5" w:rsidRDefault="00860B60" w:rsidP="00860B60">
            <w:pPr>
              <w:pStyle w:val="Tablenumbering"/>
              <w:numPr>
                <w:ilvl w:val="0"/>
                <w:numId w:val="27"/>
              </w:numPr>
              <w:ind w:left="360" w:hanging="360"/>
              <w:rPr>
                <w:sz w:val="20"/>
                <w:szCs w:val="20"/>
              </w:rPr>
            </w:pPr>
            <w:r w:rsidRPr="007C03E5">
              <w:rPr>
                <w:sz w:val="20"/>
                <w:szCs w:val="20"/>
              </w:rPr>
              <w:t>Agency updates (Liaison Officers)</w:t>
            </w:r>
          </w:p>
          <w:p w:rsidR="00860B60" w:rsidRPr="007C03E5" w:rsidRDefault="00860B60" w:rsidP="001A7923">
            <w:pPr>
              <w:pStyle w:val="Tablenormal0"/>
              <w:rPr>
                <w:rFonts w:cs="Arial"/>
                <w:sz w:val="20"/>
                <w:szCs w:val="20"/>
                <w:highlight w:val="yellow"/>
                <w:u w:val="single"/>
              </w:rPr>
            </w:pPr>
          </w:p>
        </w:tc>
      </w:tr>
      <w:tr w:rsidR="00860B60" w:rsidRPr="00B224D1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860B60" w:rsidRPr="00C834FD" w:rsidRDefault="00860B60" w:rsidP="001A7923">
            <w:pPr>
              <w:pStyle w:val="Tableheading"/>
              <w:rPr>
                <w:rFonts w:cs="Arial"/>
                <w:highlight w:val="yellow"/>
              </w:rPr>
            </w:pPr>
            <w:r w:rsidRPr="007C03E5">
              <w:t xml:space="preserve">Step 2:  </w:t>
            </w:r>
            <w:r>
              <w:t>Create option concepts</w:t>
            </w:r>
          </w:p>
        </w:tc>
      </w:tr>
      <w:tr w:rsidR="00860B60" w:rsidRPr="00741686" w:rsidTr="001A7923">
        <w:trPr>
          <w:cantSplit/>
        </w:trPr>
        <w:tc>
          <w:tcPr>
            <w:tcW w:w="5000" w:type="pct"/>
            <w:shd w:val="clear" w:color="auto" w:fill="auto"/>
          </w:tcPr>
          <w:p w:rsidR="00860B60" w:rsidRDefault="00860B60" w:rsidP="001A7923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1F3878">
              <w:rPr>
                <w:sz w:val="20"/>
                <w:szCs w:val="20"/>
              </w:rPr>
              <w:t>Using the broad options approved by the Controller at the Objective Analysis step, select 1-3 as the basis for further planning. The number of options developed will depend on the Controller’s guidance and the time available</w:t>
            </w:r>
            <w:r w:rsidRPr="000B264C">
              <w:rPr>
                <w:rFonts w:cs="Arial"/>
                <w:sz w:val="20"/>
                <w:szCs w:val="20"/>
              </w:rPr>
              <w:t>.</w:t>
            </w:r>
          </w:p>
          <w:p w:rsidR="00860B60" w:rsidRPr="00C834FD" w:rsidRDefault="00860B60" w:rsidP="001A7923">
            <w:pPr>
              <w:pStyle w:val="Spacer"/>
              <w:rPr>
                <w:highlight w:val="yellow"/>
              </w:rPr>
            </w:pPr>
          </w:p>
        </w:tc>
      </w:tr>
      <w:tr w:rsidR="00860B60" w:rsidRPr="00741686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860B60" w:rsidRPr="00C834FD" w:rsidRDefault="00860B60" w:rsidP="001A7923">
            <w:pPr>
              <w:pStyle w:val="Tablenormal0"/>
              <w:rPr>
                <w:rFonts w:cs="Arial"/>
                <w:highlight w:val="yellow"/>
              </w:rPr>
            </w:pPr>
            <w:r w:rsidRPr="007C03E5">
              <w:rPr>
                <w:b/>
                <w:color w:val="FFFFFF"/>
              </w:rPr>
              <w:t xml:space="preserve">Step 3:  </w:t>
            </w:r>
            <w:r>
              <w:rPr>
                <w:b/>
                <w:color w:val="FFFFFF"/>
              </w:rPr>
              <w:t>Develop option concepts</w:t>
            </w:r>
            <w:r w:rsidRPr="007C03E5">
              <w:rPr>
                <w:rFonts w:cs="Arial"/>
              </w:rPr>
              <w:t xml:space="preserve">  </w:t>
            </w:r>
          </w:p>
        </w:tc>
      </w:tr>
      <w:tr w:rsidR="00860B60" w:rsidRPr="00741686" w:rsidTr="001A7923">
        <w:trPr>
          <w:cantSplit/>
        </w:trPr>
        <w:tc>
          <w:tcPr>
            <w:tcW w:w="5000" w:type="pct"/>
            <w:shd w:val="clear" w:color="auto" w:fill="auto"/>
          </w:tcPr>
          <w:p w:rsidR="00860B60" w:rsidRPr="003459D0" w:rsidRDefault="00860B60" w:rsidP="001A7923">
            <w:pPr>
              <w:pStyle w:val="Tablenumbering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each Option, determine:</w:t>
            </w:r>
          </w:p>
          <w:p w:rsidR="00860B60" w:rsidRPr="003459D0" w:rsidRDefault="00860B60" w:rsidP="00860B60">
            <w:pPr>
              <w:pStyle w:val="Tablenumbering"/>
              <w:numPr>
                <w:ilvl w:val="1"/>
                <w:numId w:val="27"/>
              </w:num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short statement of intent</w:t>
            </w:r>
            <w:r w:rsidRPr="003459D0">
              <w:rPr>
                <w:sz w:val="20"/>
                <w:szCs w:val="20"/>
              </w:rPr>
              <w:t xml:space="preserve"> describing the </w:t>
            </w:r>
            <w:r>
              <w:rPr>
                <w:sz w:val="20"/>
                <w:szCs w:val="20"/>
              </w:rPr>
              <w:t>method</w:t>
            </w:r>
            <w:r w:rsidRPr="003459D0">
              <w:rPr>
                <w:sz w:val="20"/>
                <w:szCs w:val="20"/>
              </w:rPr>
              <w:t xml:space="preserve">, key tasks and </w:t>
            </w:r>
            <w:proofErr w:type="spellStart"/>
            <w:r w:rsidRPr="003459D0">
              <w:rPr>
                <w:sz w:val="20"/>
                <w:szCs w:val="20"/>
              </w:rPr>
              <w:t>endstate</w:t>
            </w:r>
            <w:proofErr w:type="spellEnd"/>
          </w:p>
          <w:p w:rsidR="00860B60" w:rsidRPr="003459D0" w:rsidRDefault="00860B60" w:rsidP="00860B60">
            <w:pPr>
              <w:pStyle w:val="Tablenumbering"/>
              <w:numPr>
                <w:ilvl w:val="1"/>
                <w:numId w:val="27"/>
              </w:numPr>
              <w:ind w:left="1080" w:hanging="36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Describe the timeline for how the response will proceed</w:t>
            </w:r>
          </w:p>
          <w:p w:rsidR="00860B60" w:rsidRPr="003459D0" w:rsidRDefault="00860B60" w:rsidP="00860B60">
            <w:pPr>
              <w:pStyle w:val="Tablenumbering"/>
              <w:numPr>
                <w:ilvl w:val="1"/>
                <w:numId w:val="27"/>
              </w:numPr>
              <w:ind w:left="1080" w:hanging="36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Describe the control arrangements and structures required</w:t>
            </w:r>
          </w:p>
          <w:p w:rsidR="00860B60" w:rsidRPr="003459D0" w:rsidRDefault="00860B60" w:rsidP="00860B60">
            <w:pPr>
              <w:pStyle w:val="Tablenumbering"/>
              <w:numPr>
                <w:ilvl w:val="1"/>
                <w:numId w:val="27"/>
              </w:numPr>
              <w:ind w:left="1080" w:hanging="36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Allocate tasks to response elements and support agencies</w:t>
            </w:r>
          </w:p>
          <w:p w:rsidR="00860B60" w:rsidRPr="003459D0" w:rsidRDefault="00860B60" w:rsidP="00860B60">
            <w:pPr>
              <w:pStyle w:val="Tablenumbering"/>
              <w:numPr>
                <w:ilvl w:val="1"/>
                <w:numId w:val="27"/>
              </w:numPr>
              <w:ind w:left="1080" w:hanging="36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List any decision points</w:t>
            </w:r>
          </w:p>
          <w:p w:rsidR="00860B60" w:rsidRPr="003459D0" w:rsidRDefault="00860B60" w:rsidP="00860B60">
            <w:pPr>
              <w:pStyle w:val="Tablenumbering"/>
              <w:numPr>
                <w:ilvl w:val="1"/>
                <w:numId w:val="27"/>
              </w:numPr>
              <w:ind w:left="1080" w:hanging="36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List the key resources</w:t>
            </w:r>
          </w:p>
          <w:p w:rsidR="00860B60" w:rsidRDefault="00860B60" w:rsidP="00860B60">
            <w:pPr>
              <w:pStyle w:val="Tablenumbering"/>
              <w:numPr>
                <w:ilvl w:val="1"/>
                <w:numId w:val="27"/>
              </w:numPr>
              <w:ind w:left="1080" w:hanging="36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List the risks and vulnerabilities of the concept</w:t>
            </w:r>
          </w:p>
          <w:p w:rsidR="00860B60" w:rsidRPr="003459D0" w:rsidRDefault="00860B60" w:rsidP="001A7923">
            <w:pPr>
              <w:pStyle w:val="Tablenumbering"/>
              <w:numPr>
                <w:ilvl w:val="0"/>
                <w:numId w:val="0"/>
              </w:numPr>
              <w:ind w:left="1080"/>
              <w:rPr>
                <w:sz w:val="20"/>
                <w:szCs w:val="20"/>
              </w:rPr>
            </w:pPr>
          </w:p>
          <w:p w:rsidR="00860B60" w:rsidRDefault="00860B60" w:rsidP="001A7923">
            <w:pPr>
              <w:pStyle w:val="Tablenumbering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Using the Option Statement templates, sketch and document the Option.</w:t>
            </w:r>
          </w:p>
          <w:p w:rsidR="00860B60" w:rsidRPr="003459D0" w:rsidRDefault="00860B60" w:rsidP="001A7923">
            <w:pPr>
              <w:pStyle w:val="Tablenumbering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860B60" w:rsidRPr="00741686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860B60" w:rsidRPr="00C834FD" w:rsidRDefault="00860B60" w:rsidP="001A7923">
            <w:pPr>
              <w:pStyle w:val="Tableheading"/>
              <w:rPr>
                <w:highlight w:val="yellow"/>
              </w:rPr>
            </w:pPr>
            <w:r w:rsidRPr="007C03E5">
              <w:t xml:space="preserve">Step 4:  </w:t>
            </w:r>
            <w:r>
              <w:t>Test options</w:t>
            </w:r>
            <w:r w:rsidRPr="007C03E5">
              <w:t xml:space="preserve"> </w:t>
            </w:r>
          </w:p>
        </w:tc>
      </w:tr>
      <w:tr w:rsidR="00860B60" w:rsidRPr="00741686" w:rsidTr="001A7923">
        <w:trPr>
          <w:cantSplit/>
        </w:trPr>
        <w:tc>
          <w:tcPr>
            <w:tcW w:w="5000" w:type="pct"/>
            <w:shd w:val="clear" w:color="auto" w:fill="auto"/>
          </w:tcPr>
          <w:p w:rsidR="00860B60" w:rsidRPr="000B264C" w:rsidRDefault="00860B60" w:rsidP="001A7923">
            <w:pPr>
              <w:rPr>
                <w:rFonts w:cs="Arial"/>
                <w:sz w:val="20"/>
                <w:szCs w:val="20"/>
              </w:rPr>
            </w:pPr>
            <w:r w:rsidRPr="000B264C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est each option to ensure it is:</w:t>
            </w:r>
          </w:p>
          <w:p w:rsidR="00860B60" w:rsidRPr="000B264C" w:rsidRDefault="00860B60" w:rsidP="00860B60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B264C">
              <w:rPr>
                <w:rFonts w:cs="Arial"/>
                <w:sz w:val="20"/>
                <w:szCs w:val="20"/>
              </w:rPr>
              <w:t xml:space="preserve">Suitable: Does it meet the </w:t>
            </w:r>
            <w:r>
              <w:rPr>
                <w:rFonts w:cs="Arial"/>
                <w:sz w:val="20"/>
                <w:szCs w:val="20"/>
              </w:rPr>
              <w:t>objectives given by the Controller</w:t>
            </w:r>
            <w:r w:rsidRPr="000B264C">
              <w:rPr>
                <w:rFonts w:cs="Arial"/>
                <w:sz w:val="20"/>
                <w:szCs w:val="20"/>
              </w:rPr>
              <w:t>?</w:t>
            </w:r>
          </w:p>
          <w:p w:rsidR="00860B60" w:rsidRPr="000B264C" w:rsidRDefault="00860B60" w:rsidP="00860B60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B264C">
              <w:rPr>
                <w:rFonts w:cs="Arial"/>
                <w:sz w:val="20"/>
                <w:szCs w:val="20"/>
              </w:rPr>
              <w:t>Feasible: Can the option be achieved in the time and space, and with the resources available?</w:t>
            </w:r>
          </w:p>
          <w:p w:rsidR="00860B60" w:rsidRPr="000B264C" w:rsidRDefault="00860B60" w:rsidP="00860B60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B264C">
              <w:rPr>
                <w:rFonts w:cs="Arial"/>
                <w:sz w:val="20"/>
                <w:szCs w:val="20"/>
              </w:rPr>
              <w:t>Acceptable: What is the degree of risk associated with the option? What is the probability that it will succeed in meeting the Controller’s objectives?</w:t>
            </w:r>
          </w:p>
          <w:p w:rsidR="00860B60" w:rsidRPr="000B264C" w:rsidRDefault="00860B60" w:rsidP="00860B60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B264C">
              <w:rPr>
                <w:rFonts w:cs="Arial"/>
                <w:sz w:val="20"/>
                <w:szCs w:val="20"/>
              </w:rPr>
              <w:t>Sustainable: Can the option be supported by the logistics arrangements in place?</w:t>
            </w:r>
          </w:p>
          <w:p w:rsidR="00860B60" w:rsidRPr="000B264C" w:rsidRDefault="00860B60" w:rsidP="00860B60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B264C">
              <w:rPr>
                <w:rFonts w:cs="Arial"/>
                <w:sz w:val="20"/>
                <w:szCs w:val="20"/>
              </w:rPr>
              <w:t>Distinguishable: Is the option easily distinguishable from the other options? Or are all the options just variations on a theme?</w:t>
            </w:r>
          </w:p>
          <w:p w:rsidR="00860B60" w:rsidRPr="00860B60" w:rsidRDefault="00860B60" w:rsidP="001A7923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B264C">
              <w:rPr>
                <w:rFonts w:cs="Arial"/>
                <w:sz w:val="20"/>
                <w:szCs w:val="20"/>
              </w:rPr>
              <w:t>Comple</w:t>
            </w:r>
            <w:r>
              <w:rPr>
                <w:rFonts w:cs="Arial"/>
                <w:sz w:val="20"/>
                <w:szCs w:val="20"/>
              </w:rPr>
              <w:t xml:space="preserve">te: Does it plan from the starting state </w:t>
            </w:r>
            <w:r w:rsidRPr="000B264C">
              <w:rPr>
                <w:rFonts w:cs="Arial"/>
                <w:sz w:val="20"/>
                <w:szCs w:val="20"/>
              </w:rPr>
              <w:t xml:space="preserve">through to the </w:t>
            </w:r>
            <w:proofErr w:type="spellStart"/>
            <w:r w:rsidRPr="000B264C">
              <w:rPr>
                <w:rFonts w:cs="Arial"/>
                <w:sz w:val="20"/>
                <w:szCs w:val="20"/>
              </w:rPr>
              <w:t>endstate</w:t>
            </w:r>
            <w:proofErr w:type="spellEnd"/>
            <w:r w:rsidRPr="000B264C">
              <w:rPr>
                <w:rFonts w:cs="Arial"/>
                <w:sz w:val="20"/>
                <w:szCs w:val="20"/>
              </w:rPr>
              <w:t>?</w:t>
            </w:r>
          </w:p>
        </w:tc>
      </w:tr>
    </w:tbl>
    <w:p w:rsidR="00860B60" w:rsidRDefault="00860B60"/>
    <w:tbl>
      <w:tblPr>
        <w:tblW w:w="5000" w:type="pct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740"/>
      </w:tblGrid>
      <w:tr w:rsidR="00860B60" w:rsidRPr="00741686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860B60" w:rsidRPr="007C03E5" w:rsidRDefault="00860B60" w:rsidP="001A7923">
            <w:pPr>
              <w:pStyle w:val="Tableheading"/>
              <w:rPr>
                <w:sz w:val="20"/>
              </w:rPr>
            </w:pPr>
            <w:r w:rsidRPr="007C03E5">
              <w:t xml:space="preserve">Step 5:  </w:t>
            </w:r>
            <w:r>
              <w:t>Brief Controller</w:t>
            </w:r>
            <w:r w:rsidRPr="007C03E5">
              <w:t xml:space="preserve">  </w:t>
            </w:r>
          </w:p>
        </w:tc>
      </w:tr>
      <w:tr w:rsidR="00860B60" w:rsidRPr="00AD6C69" w:rsidTr="001A7923">
        <w:trPr>
          <w:cantSplit/>
          <w:trHeight w:val="370"/>
        </w:trPr>
        <w:tc>
          <w:tcPr>
            <w:tcW w:w="5000" w:type="pct"/>
            <w:shd w:val="clear" w:color="auto" w:fill="auto"/>
          </w:tcPr>
          <w:p w:rsidR="00860B60" w:rsidRPr="003459D0" w:rsidRDefault="00860B60" w:rsidP="001A7923">
            <w:pPr>
              <w:pStyle w:val="Tablenormal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Prepare an Options Development briefing for the Controller, in order to confirm the deductions made</w:t>
            </w:r>
            <w:r>
              <w:rPr>
                <w:sz w:val="20"/>
                <w:szCs w:val="20"/>
              </w:rPr>
              <w:t xml:space="preserve">. </w:t>
            </w:r>
            <w:r w:rsidRPr="003459D0">
              <w:rPr>
                <w:sz w:val="20"/>
                <w:szCs w:val="20"/>
              </w:rPr>
              <w:t>The bri</w:t>
            </w:r>
            <w:r>
              <w:rPr>
                <w:sz w:val="20"/>
                <w:szCs w:val="20"/>
              </w:rPr>
              <w:t>efing should proceed as follows:</w:t>
            </w:r>
          </w:p>
          <w:p w:rsidR="00860B60" w:rsidRDefault="00860B60" w:rsidP="001A7923">
            <w:pPr>
              <w:pStyle w:val="Tablenormal0"/>
              <w:rPr>
                <w:sz w:val="20"/>
                <w:szCs w:val="20"/>
              </w:rPr>
            </w:pPr>
          </w:p>
          <w:tbl>
            <w:tblPr>
              <w:tblStyle w:val="TableGrid"/>
              <w:tblW w:w="9214" w:type="dxa"/>
              <w:tblInd w:w="137" w:type="dxa"/>
              <w:tblBorders>
                <w:top w:val="single" w:sz="4" w:space="0" w:color="005A9B" w:themeColor="background2"/>
                <w:left w:val="single" w:sz="4" w:space="0" w:color="005A9B" w:themeColor="background2"/>
                <w:bottom w:val="single" w:sz="4" w:space="0" w:color="005A9B" w:themeColor="background2"/>
                <w:right w:val="single" w:sz="4" w:space="0" w:color="005A9B" w:themeColor="background2"/>
                <w:insideH w:val="single" w:sz="4" w:space="0" w:color="005A9B" w:themeColor="background2"/>
                <w:insideV w:val="single" w:sz="4" w:space="0" w:color="005A9B" w:themeColor="background2"/>
              </w:tblBorders>
              <w:tblLook w:val="04A0"/>
            </w:tblPr>
            <w:tblGrid>
              <w:gridCol w:w="6516"/>
              <w:gridCol w:w="2698"/>
            </w:tblGrid>
            <w:tr w:rsidR="00860B60" w:rsidRPr="003459D0" w:rsidTr="001A7923">
              <w:tc>
                <w:tcPr>
                  <w:tcW w:w="6516" w:type="dxa"/>
                  <w:shd w:val="clear" w:color="auto" w:fill="AFAFAF" w:themeFill="accent1"/>
                </w:tcPr>
                <w:p w:rsidR="00860B60" w:rsidRPr="003459D0" w:rsidRDefault="00860B60" w:rsidP="001A7923">
                  <w:pPr>
                    <w:pStyle w:val="Tableheading"/>
                  </w:pPr>
                  <w:r>
                    <w:t>Subject</w:t>
                  </w:r>
                </w:p>
              </w:tc>
              <w:tc>
                <w:tcPr>
                  <w:tcW w:w="2698" w:type="dxa"/>
                  <w:shd w:val="clear" w:color="auto" w:fill="AFAFAF" w:themeFill="accent1"/>
                </w:tcPr>
                <w:p w:rsidR="00860B60" w:rsidRPr="003459D0" w:rsidRDefault="00860B60" w:rsidP="001A7923">
                  <w:pPr>
                    <w:pStyle w:val="Tableheading"/>
                  </w:pPr>
                  <w:r>
                    <w:t>Speaker</w:t>
                  </w:r>
                </w:p>
              </w:tc>
            </w:tr>
            <w:tr w:rsidR="00860B60" w:rsidRPr="003459D0" w:rsidTr="001A7923">
              <w:tc>
                <w:tcPr>
                  <w:tcW w:w="6516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Purpose of briefing, time analysis</w:t>
                  </w:r>
                </w:p>
              </w:tc>
              <w:tc>
                <w:tcPr>
                  <w:tcW w:w="2698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Response Manager or Planning rep</w:t>
                  </w:r>
                </w:p>
              </w:tc>
            </w:tr>
            <w:tr w:rsidR="00860B60" w:rsidRPr="003459D0" w:rsidTr="001A7923">
              <w:tc>
                <w:tcPr>
                  <w:tcW w:w="6516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 xml:space="preserve">Changes to hazard and environmental information, most dangerous and most likely </w:t>
                  </w:r>
                  <w:r>
                    <w:rPr>
                      <w:sz w:val="20"/>
                      <w:szCs w:val="20"/>
                    </w:rPr>
                    <w:t>hazard scenario</w:t>
                  </w:r>
                  <w:r w:rsidRPr="003459D0">
                    <w:rPr>
                      <w:sz w:val="20"/>
                      <w:szCs w:val="20"/>
                    </w:rPr>
                    <w:t xml:space="preserve">s  </w:t>
                  </w:r>
                </w:p>
              </w:tc>
              <w:tc>
                <w:tcPr>
                  <w:tcW w:w="2698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Intelligence rep</w:t>
                  </w:r>
                </w:p>
              </w:tc>
            </w:tr>
            <w:tr w:rsidR="00860B60" w:rsidRPr="003459D0" w:rsidTr="001A7923">
              <w:tc>
                <w:tcPr>
                  <w:tcW w:w="6516" w:type="dxa"/>
                </w:tcPr>
                <w:p w:rsidR="00860B60" w:rsidRPr="003459D0" w:rsidRDefault="00860B60" w:rsidP="001A7923">
                  <w:pPr>
                    <w:pStyle w:val="Tablenumbering"/>
                    <w:numPr>
                      <w:ilvl w:val="0"/>
                      <w:numId w:val="0"/>
                    </w:numPr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Brief on each option, giving a verbal and graphic description of how operations will proceed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3459D0">
                    <w:rPr>
                      <w:sz w:val="20"/>
                      <w:szCs w:val="20"/>
                    </w:rPr>
                    <w:t xml:space="preserve">The </w:t>
                  </w:r>
                  <w:r>
                    <w:rPr>
                      <w:sz w:val="20"/>
                      <w:szCs w:val="20"/>
                    </w:rPr>
                    <w:t>brief should follow this format:</w:t>
                  </w:r>
                </w:p>
                <w:p w:rsidR="00860B60" w:rsidRPr="003459D0" w:rsidRDefault="00860B60" w:rsidP="00860B60">
                  <w:pPr>
                    <w:pStyle w:val="Tablenumbering"/>
                    <w:numPr>
                      <w:ilvl w:val="0"/>
                      <w:numId w:val="34"/>
                    </w:numPr>
                    <w:ind w:left="743" w:hanging="426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Concept</w:t>
                  </w:r>
                </w:p>
                <w:p w:rsidR="00860B60" w:rsidRPr="003459D0" w:rsidRDefault="00860B60" w:rsidP="00860B60">
                  <w:pPr>
                    <w:pStyle w:val="Tablenumbering"/>
                    <w:numPr>
                      <w:ilvl w:val="0"/>
                      <w:numId w:val="34"/>
                    </w:numPr>
                    <w:ind w:left="743" w:hanging="426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 xml:space="preserve">Key </w:t>
                  </w:r>
                  <w:r>
                    <w:rPr>
                      <w:sz w:val="20"/>
                      <w:szCs w:val="20"/>
                    </w:rPr>
                    <w:t>tasks</w:t>
                  </w:r>
                </w:p>
                <w:p w:rsidR="00860B60" w:rsidRPr="003459D0" w:rsidRDefault="00860B60" w:rsidP="00860B60">
                  <w:pPr>
                    <w:pStyle w:val="Tablenumbering"/>
                    <w:numPr>
                      <w:ilvl w:val="0"/>
                      <w:numId w:val="34"/>
                    </w:numPr>
                    <w:ind w:left="743" w:hanging="426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Control arrangements and structure</w:t>
                  </w:r>
                </w:p>
                <w:p w:rsidR="00860B60" w:rsidRPr="003459D0" w:rsidRDefault="00860B60" w:rsidP="00860B60">
                  <w:pPr>
                    <w:pStyle w:val="Tablenumbering"/>
                    <w:numPr>
                      <w:ilvl w:val="0"/>
                      <w:numId w:val="34"/>
                    </w:numPr>
                    <w:ind w:left="743" w:hanging="426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Decision points</w:t>
                  </w:r>
                </w:p>
                <w:p w:rsidR="00860B60" w:rsidRPr="003459D0" w:rsidRDefault="00860B60" w:rsidP="00860B60">
                  <w:pPr>
                    <w:pStyle w:val="Tablenumbering"/>
                    <w:numPr>
                      <w:ilvl w:val="0"/>
                      <w:numId w:val="34"/>
                    </w:numPr>
                    <w:ind w:left="743" w:hanging="426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 xml:space="preserve">Resource 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3459D0">
                    <w:rPr>
                      <w:sz w:val="20"/>
                      <w:szCs w:val="20"/>
                    </w:rPr>
                    <w:t>llocation</w:t>
                  </w:r>
                </w:p>
                <w:p w:rsidR="00860B60" w:rsidRPr="003459D0" w:rsidRDefault="00860B60" w:rsidP="00860B60">
                  <w:pPr>
                    <w:pStyle w:val="Tablenumbering"/>
                    <w:numPr>
                      <w:ilvl w:val="0"/>
                      <w:numId w:val="34"/>
                    </w:numPr>
                    <w:ind w:left="743" w:hanging="426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Key locations</w:t>
                  </w:r>
                </w:p>
                <w:p w:rsidR="00860B60" w:rsidRPr="003459D0" w:rsidRDefault="00860B60" w:rsidP="00860B60">
                  <w:pPr>
                    <w:pStyle w:val="Tablenumbering"/>
                    <w:numPr>
                      <w:ilvl w:val="0"/>
                      <w:numId w:val="34"/>
                    </w:numPr>
                    <w:ind w:left="743" w:hanging="426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Timeline</w:t>
                  </w:r>
                </w:p>
                <w:p w:rsidR="00860B60" w:rsidRPr="003459D0" w:rsidRDefault="00860B60" w:rsidP="001A7923">
                  <w:pPr>
                    <w:pStyle w:val="Tablenumbering"/>
                    <w:numPr>
                      <w:ilvl w:val="0"/>
                      <w:numId w:val="0"/>
                    </w:numPr>
                    <w:ind w:left="74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:rsidR="00860B6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Option development team member (if separate teams have developed each option), </w:t>
                  </w:r>
                </w:p>
                <w:p w:rsidR="00860B6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</w:p>
                <w:p w:rsidR="00860B6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or,</w:t>
                  </w:r>
                </w:p>
                <w:p w:rsidR="00860B6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</w:p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Planning rep</w:t>
                  </w:r>
                </w:p>
              </w:tc>
            </w:tr>
            <w:tr w:rsidR="00860B60" w:rsidRPr="003459D0" w:rsidTr="001A7923">
              <w:tc>
                <w:tcPr>
                  <w:tcW w:w="6516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Logistics supporting concept</w:t>
                  </w:r>
                </w:p>
              </w:tc>
              <w:tc>
                <w:tcPr>
                  <w:tcW w:w="2698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Logistics rep</w:t>
                  </w:r>
                </w:p>
              </w:tc>
            </w:tr>
            <w:tr w:rsidR="00860B60" w:rsidRPr="003459D0" w:rsidTr="001A7923">
              <w:tc>
                <w:tcPr>
                  <w:tcW w:w="6516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PIM concept and key messages</w:t>
                  </w:r>
                </w:p>
              </w:tc>
              <w:tc>
                <w:tcPr>
                  <w:tcW w:w="2698" w:type="dxa"/>
                </w:tcPr>
                <w:p w:rsidR="00860B60" w:rsidRPr="003459D0" w:rsidRDefault="00860B60" w:rsidP="001A7923">
                  <w:pPr>
                    <w:pStyle w:val="Tablenormal0"/>
                    <w:rPr>
                      <w:sz w:val="20"/>
                      <w:szCs w:val="20"/>
                    </w:rPr>
                  </w:pPr>
                  <w:r w:rsidRPr="003459D0">
                    <w:rPr>
                      <w:sz w:val="20"/>
                      <w:szCs w:val="20"/>
                    </w:rPr>
                    <w:t>PIM rep</w:t>
                  </w:r>
                </w:p>
              </w:tc>
            </w:tr>
          </w:tbl>
          <w:p w:rsidR="00860B60" w:rsidRDefault="00860B60" w:rsidP="001A7923">
            <w:pPr>
              <w:pStyle w:val="Tablenormal0"/>
              <w:rPr>
                <w:sz w:val="20"/>
                <w:szCs w:val="20"/>
              </w:rPr>
            </w:pPr>
          </w:p>
          <w:p w:rsidR="00860B60" w:rsidRPr="003459D0" w:rsidRDefault="00860B60" w:rsidP="001A7923">
            <w:pPr>
              <w:pStyle w:val="Tablenormal0"/>
              <w:rPr>
                <w:sz w:val="20"/>
                <w:szCs w:val="20"/>
              </w:rPr>
            </w:pPr>
            <w:r w:rsidRPr="003459D0">
              <w:rPr>
                <w:sz w:val="20"/>
                <w:szCs w:val="20"/>
              </w:rPr>
              <w:t>At the end of this brief, the Controller may modify and/or confirm these options, allowing the Planning team to move onto the next step</w:t>
            </w:r>
            <w:r>
              <w:rPr>
                <w:sz w:val="20"/>
                <w:szCs w:val="20"/>
              </w:rPr>
              <w:t xml:space="preserve">. </w:t>
            </w:r>
            <w:r w:rsidRPr="003459D0">
              <w:rPr>
                <w:sz w:val="20"/>
                <w:szCs w:val="20"/>
              </w:rPr>
              <w:t xml:space="preserve">If the Controller rejects these </w:t>
            </w:r>
            <w:r>
              <w:rPr>
                <w:sz w:val="20"/>
                <w:szCs w:val="20"/>
              </w:rPr>
              <w:t>options</w:t>
            </w:r>
            <w:r w:rsidRPr="003459D0">
              <w:rPr>
                <w:sz w:val="20"/>
                <w:szCs w:val="20"/>
              </w:rPr>
              <w:t>, the Planning team returns to the start of this procedure.</w:t>
            </w:r>
          </w:p>
          <w:p w:rsidR="00860B60" w:rsidRPr="007C03E5" w:rsidRDefault="00860B60" w:rsidP="001A7923">
            <w:pPr>
              <w:pStyle w:val="Tablenormal0"/>
              <w:rPr>
                <w:rFonts w:cs="Arial"/>
                <w:sz w:val="20"/>
              </w:rPr>
            </w:pPr>
          </w:p>
        </w:tc>
      </w:tr>
    </w:tbl>
    <w:p w:rsidR="00860B60" w:rsidRPr="00DB0359" w:rsidRDefault="00860B60" w:rsidP="00DB0359">
      <w:bookmarkStart w:id="0" w:name="_GoBack"/>
      <w:bookmarkEnd w:id="0"/>
    </w:p>
    <w:sectPr w:rsidR="00860B60" w:rsidRPr="00DB0359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C8" w:rsidRDefault="00044EC8" w:rsidP="0028688E">
      <w:pPr>
        <w:spacing w:before="0" w:after="0" w:line="240" w:lineRule="auto"/>
      </w:pPr>
      <w:r>
        <w:separator/>
      </w:r>
    </w:p>
  </w:endnote>
  <w:endnote w:type="continuationSeparator" w:id="0">
    <w:p w:rsidR="00044EC8" w:rsidRDefault="00044EC8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DB0359" w:rsidP="00855A5B">
    <w:pPr>
      <w:pStyle w:val="MCDEMfooter"/>
      <w:tabs>
        <w:tab w:val="left" w:pos="4157"/>
      </w:tabs>
    </w:pPr>
    <w:r w:rsidRPr="00DB0359">
      <w:t>Detailed Planning – Options Development template</w:t>
    </w:r>
    <w:r w:rsidR="0028688E">
      <w:tab/>
    </w:r>
    <w:r w:rsidR="00855A5B">
      <w:tab/>
    </w:r>
    <w:r w:rsidR="0028688E">
      <w:t xml:space="preserve">Page </w:t>
    </w:r>
    <w:r w:rsidR="00AF2918">
      <w:fldChar w:fldCharType="begin"/>
    </w:r>
    <w:r w:rsidR="0028688E">
      <w:instrText xml:space="preserve"> PAGE   \* MERGEFORMAT </w:instrText>
    </w:r>
    <w:r w:rsidR="00AF2918">
      <w:fldChar w:fldCharType="separate"/>
    </w:r>
    <w:r w:rsidR="0011450C">
      <w:rPr>
        <w:noProof/>
      </w:rPr>
      <w:t>2</w:t>
    </w:r>
    <w:r w:rsidR="00AF2918">
      <w:rPr>
        <w:noProof/>
      </w:rPr>
      <w:fldChar w:fldCharType="end"/>
    </w:r>
    <w:r w:rsidR="0028688E">
      <w:t xml:space="preserve"> of </w:t>
    </w:r>
    <w:fldSimple w:instr=" NUMPAGES   \* MERGEFORMAT ">
      <w:r w:rsidR="0011450C">
        <w:rPr>
          <w:noProof/>
        </w:rPr>
        <w:t>2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C8" w:rsidRDefault="00044EC8" w:rsidP="0028688E">
      <w:pPr>
        <w:spacing w:before="0" w:after="0" w:line="240" w:lineRule="auto"/>
      </w:pPr>
      <w:r>
        <w:separator/>
      </w:r>
    </w:p>
  </w:footnote>
  <w:footnote w:type="continuationSeparator" w:id="0">
    <w:p w:rsidR="00044EC8" w:rsidRDefault="00044EC8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612"/>
    <w:multiLevelType w:val="hybridMultilevel"/>
    <w:tmpl w:val="A3A0CD5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4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9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>
    <w:nsid w:val="2C8D5CB5"/>
    <w:multiLevelType w:val="hybridMultilevel"/>
    <w:tmpl w:val="98E87092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7B63C8"/>
    <w:multiLevelType w:val="multilevel"/>
    <w:tmpl w:val="A79ED950"/>
    <w:numStyleLink w:val="MCDEMbullet"/>
  </w:abstractNum>
  <w:abstractNum w:abstractNumId="13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7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7D661627"/>
    <w:multiLevelType w:val="multilevel"/>
    <w:tmpl w:val="A79ED950"/>
    <w:numStyleLink w:val="MCDEMbullet"/>
  </w:abstractNum>
  <w:num w:numId="1">
    <w:abstractNumId w:val="10"/>
  </w:num>
  <w:num w:numId="2">
    <w:abstractNumId w:val="18"/>
  </w:num>
  <w:num w:numId="3">
    <w:abstractNumId w:val="19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0"/>
  </w:num>
  <w:num w:numId="15">
    <w:abstractNumId w:val="10"/>
  </w:num>
  <w:num w:numId="16">
    <w:abstractNumId w:val="8"/>
  </w:num>
  <w:num w:numId="17">
    <w:abstractNumId w:val="2"/>
  </w:num>
  <w:num w:numId="18">
    <w:abstractNumId w:val="14"/>
  </w:num>
  <w:num w:numId="19">
    <w:abstractNumId w:val="9"/>
  </w:num>
  <w:num w:numId="20">
    <w:abstractNumId w:val="12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1"/>
  </w:num>
  <w:num w:numId="22">
    <w:abstractNumId w:val="15"/>
  </w:num>
  <w:num w:numId="23">
    <w:abstractNumId w:val="7"/>
  </w:num>
  <w:num w:numId="24">
    <w:abstractNumId w:val="17"/>
  </w:num>
  <w:num w:numId="25">
    <w:abstractNumId w:val="5"/>
  </w:num>
  <w:num w:numId="26">
    <w:abstractNumId w:val="13"/>
  </w:num>
  <w:num w:numId="27">
    <w:abstractNumId w:val="3"/>
  </w:num>
  <w:num w:numId="28">
    <w:abstractNumId w:val="3"/>
  </w:num>
  <w:num w:numId="29">
    <w:abstractNumId w:val="16"/>
  </w:num>
  <w:num w:numId="30">
    <w:abstractNumId w:val="4"/>
  </w:num>
  <w:num w:numId="31">
    <w:abstractNumId w:val="6"/>
  </w:num>
  <w:num w:numId="32">
    <w:abstractNumId w:val="12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0"/>
  </w:num>
  <w:num w:numId="34">
    <w:abstractNumId w:val="11"/>
  </w:num>
  <w:num w:numId="35">
    <w:abstractNumId w:val="3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44EC8"/>
    <w:rsid w:val="00003E8D"/>
    <w:rsid w:val="00033DD1"/>
    <w:rsid w:val="00044EC8"/>
    <w:rsid w:val="000765B8"/>
    <w:rsid w:val="000F7763"/>
    <w:rsid w:val="001026B1"/>
    <w:rsid w:val="0011450C"/>
    <w:rsid w:val="00120715"/>
    <w:rsid w:val="0012756B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0B60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AF2918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DB0359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qFormat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HeadingAppendix9">
    <w:name w:val="Heading Appendix 9"/>
    <w:basedOn w:val="Normal"/>
    <w:next w:val="Normal"/>
    <w:qFormat/>
    <w:rsid w:val="00DB0359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qFormat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HeadingAppendix9">
    <w:name w:val="Heading Appendix 9"/>
    <w:basedOn w:val="Normal"/>
    <w:next w:val="Normal"/>
    <w:qFormat/>
    <w:rsid w:val="00DB0359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06BB-CFBE-4596-B501-BD02E8F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2984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Detailed Planning - Options Development template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2015-12-02T01:41:00Z</dcterms:created>
  <dcterms:modified xsi:type="dcterms:W3CDTF">2015-12-02T01:42:00Z</dcterms:modified>
</cp:coreProperties>
</file>