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8D1" w:rsidRPr="001748D1" w:rsidRDefault="001748D1" w:rsidP="0002140A">
      <w:pPr>
        <w:pStyle w:val="Heading6"/>
        <w:spacing w:before="0"/>
      </w:pPr>
      <w:bookmarkStart w:id="0" w:name="_Toc346279497"/>
      <w:bookmarkStart w:id="1" w:name="_Toc347755729"/>
      <w:bookmarkStart w:id="2" w:name="_Toc354849498"/>
      <w:bookmarkStart w:id="3" w:name="AppendixdevelopingalogisticsSOP"/>
      <w:bookmarkStart w:id="4" w:name="_Toc418247347"/>
      <w:bookmarkStart w:id="5" w:name="_Toc418253895"/>
      <w:r w:rsidRPr="001748D1">
        <w:t>Developing a Logistics CDEM Plan</w:t>
      </w:r>
      <w:bookmarkEnd w:id="0"/>
      <w:bookmarkEnd w:id="1"/>
      <w:bookmarkEnd w:id="2"/>
      <w:bookmarkEnd w:id="3"/>
      <w:bookmarkEnd w:id="4"/>
      <w:bookmarkEnd w:id="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7704"/>
      </w:tblGrid>
      <w:tr w:rsidR="001748D1" w:rsidRPr="001748D1" w:rsidTr="00F6586D">
        <w:tc>
          <w:tcPr>
            <w:tcW w:w="1928" w:type="dxa"/>
            <w:tcMar>
              <w:right w:w="227" w:type="dxa"/>
            </w:tcMar>
          </w:tcPr>
          <w:p w:rsidR="001748D1" w:rsidRPr="001748D1" w:rsidRDefault="001748D1" w:rsidP="001748D1">
            <w:pPr>
              <w:rPr>
                <w:rFonts w:ascii="Arial Narrow" w:hAnsi="Arial Narrow"/>
                <w:b/>
                <w:color w:val="005A9B" w:themeColor="background2"/>
                <w:lang w:eastAsia="en-NZ"/>
              </w:rPr>
            </w:pPr>
          </w:p>
        </w:tc>
        <w:tc>
          <w:tcPr>
            <w:tcW w:w="7705" w:type="dxa"/>
          </w:tcPr>
          <w:p w:rsidR="001748D1" w:rsidRPr="001748D1" w:rsidRDefault="001748D1" w:rsidP="001748D1">
            <w:pPr>
              <w:rPr>
                <w:lang w:eastAsia="en-NZ"/>
              </w:rPr>
            </w:pPr>
            <w:r w:rsidRPr="001748D1">
              <w:rPr>
                <w:lang w:eastAsia="en-NZ"/>
              </w:rPr>
              <w:t xml:space="preserve">A </w:t>
            </w:r>
            <w:r w:rsidRPr="001748D1">
              <w:rPr>
                <w:i/>
                <w:lang w:eastAsia="en-NZ"/>
              </w:rPr>
              <w:t>Logistics CDEM Plan</w:t>
            </w:r>
            <w:r w:rsidRPr="001748D1">
              <w:rPr>
                <w:lang w:eastAsia="en-NZ"/>
              </w:rPr>
              <w:t xml:space="preserve"> describes what Logistics activities are intended to be carried out during response and recovery, and how to prepare for them. It is prepared during the readiness phase. This appendix summarises what needs to be included.</w:t>
            </w:r>
          </w:p>
          <w:p w:rsidR="001748D1" w:rsidRPr="001748D1" w:rsidRDefault="001748D1" w:rsidP="001748D1">
            <w:r w:rsidRPr="001748D1">
              <w:rPr>
                <w:lang w:eastAsia="en-NZ"/>
              </w:rPr>
              <w:t xml:space="preserve">When a </w:t>
            </w:r>
            <w:r w:rsidRPr="001748D1">
              <w:rPr>
                <w:i/>
                <w:lang w:eastAsia="en-NZ"/>
              </w:rPr>
              <w:t>Logistics CDEM Plan</w:t>
            </w:r>
            <w:r w:rsidRPr="001748D1">
              <w:rPr>
                <w:lang w:eastAsia="en-NZ"/>
              </w:rPr>
              <w:t xml:space="preserve"> is prepared, i</w:t>
            </w:r>
            <w:r w:rsidRPr="001748D1">
              <w:t xml:space="preserve">t must be </w:t>
            </w:r>
            <w:r w:rsidRPr="001748D1">
              <w:rPr>
                <w:b/>
              </w:rPr>
              <w:t>approved</w:t>
            </w:r>
            <w:r w:rsidRPr="001748D1">
              <w:t xml:space="preserve"> by the </w:t>
            </w:r>
            <w:r w:rsidRPr="001748D1">
              <w:rPr>
                <w:b/>
              </w:rPr>
              <w:t>GEMO Manager</w:t>
            </w:r>
            <w:r w:rsidRPr="001748D1">
              <w:t xml:space="preserve"> (if planning is taking place at a Group level) or the </w:t>
            </w:r>
            <w:r w:rsidRPr="001748D1">
              <w:rPr>
                <w:b/>
              </w:rPr>
              <w:t xml:space="preserve">EM Officer </w:t>
            </w:r>
            <w:r w:rsidRPr="001748D1">
              <w:t>(if planning is taking place at a local level).</w:t>
            </w:r>
          </w:p>
          <w:p w:rsidR="001748D1" w:rsidRPr="001748D1" w:rsidRDefault="001748D1" w:rsidP="001748D1">
            <w:pPr>
              <w:spacing w:before="0" w:after="0" w:line="240" w:lineRule="auto"/>
              <w:rPr>
                <w:sz w:val="24"/>
              </w:rPr>
            </w:pPr>
          </w:p>
        </w:tc>
      </w:tr>
    </w:tbl>
    <w:p w:rsidR="001748D1" w:rsidRPr="001748D1" w:rsidRDefault="001748D1" w:rsidP="001748D1">
      <w:pPr>
        <w:pStyle w:val="Heading7"/>
      </w:pPr>
      <w:bookmarkStart w:id="6" w:name="_Toc418247348"/>
      <w:r w:rsidRPr="001748D1">
        <w:t>Content</w:t>
      </w:r>
      <w:bookmarkEnd w:id="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7704"/>
      </w:tblGrid>
      <w:tr w:rsidR="001748D1" w:rsidRPr="001748D1" w:rsidTr="00F6586D">
        <w:tc>
          <w:tcPr>
            <w:tcW w:w="1928" w:type="dxa"/>
            <w:tcMar>
              <w:right w:w="227" w:type="dxa"/>
            </w:tcMar>
          </w:tcPr>
          <w:p w:rsidR="001748D1" w:rsidRPr="001748D1" w:rsidRDefault="001748D1" w:rsidP="001748D1">
            <w:pPr>
              <w:rPr>
                <w:rFonts w:ascii="Arial Narrow" w:hAnsi="Arial Narrow"/>
                <w:b/>
                <w:color w:val="005A9B" w:themeColor="background2"/>
                <w:lang w:eastAsia="en-NZ"/>
              </w:rPr>
            </w:pPr>
          </w:p>
        </w:tc>
        <w:tc>
          <w:tcPr>
            <w:tcW w:w="7705" w:type="dxa"/>
          </w:tcPr>
          <w:p w:rsidR="001748D1" w:rsidRPr="001748D1" w:rsidRDefault="001748D1" w:rsidP="001748D1">
            <w:pPr>
              <w:rPr>
                <w:lang w:eastAsia="en-NZ"/>
              </w:rPr>
            </w:pPr>
            <w:r w:rsidRPr="001748D1">
              <w:rPr>
                <w:lang w:eastAsia="en-NZ"/>
              </w:rPr>
              <w:t xml:space="preserve">Describe the overall Logistics </w:t>
            </w:r>
            <w:r w:rsidR="007E3F4E">
              <w:rPr>
                <w:lang w:eastAsia="en-NZ"/>
              </w:rPr>
              <w:t xml:space="preserve">function </w:t>
            </w:r>
            <w:r w:rsidRPr="001748D1">
              <w:rPr>
                <w:lang w:eastAsia="en-NZ"/>
              </w:rPr>
              <w:t>structure, including:</w:t>
            </w:r>
          </w:p>
          <w:p w:rsidR="001748D1" w:rsidRPr="001748D1" w:rsidRDefault="001748D1" w:rsidP="009A3EB6">
            <w:pPr>
              <w:pStyle w:val="Bullet"/>
              <w:rPr>
                <w:lang w:eastAsia="en-NZ"/>
              </w:rPr>
            </w:pPr>
            <w:r w:rsidRPr="001748D1">
              <w:rPr>
                <w:lang w:eastAsia="en-NZ"/>
              </w:rPr>
              <w:t>the coordination centre structure</w:t>
            </w:r>
          </w:p>
          <w:p w:rsidR="001748D1" w:rsidRPr="001748D1" w:rsidRDefault="001748D1" w:rsidP="009A3EB6">
            <w:pPr>
              <w:pStyle w:val="Bullet"/>
              <w:rPr>
                <w:lang w:eastAsia="en-NZ"/>
              </w:rPr>
            </w:pPr>
            <w:r w:rsidRPr="001748D1">
              <w:rPr>
                <w:lang w:eastAsia="en-NZ"/>
              </w:rPr>
              <w:t>Logistics’ role within the coordination centre structure, and</w:t>
            </w:r>
          </w:p>
          <w:p w:rsidR="001748D1" w:rsidRPr="001748D1" w:rsidRDefault="001748D1" w:rsidP="009A3EB6">
            <w:pPr>
              <w:pStyle w:val="Bullet"/>
              <w:rPr>
                <w:lang w:eastAsia="en-NZ"/>
              </w:rPr>
            </w:pPr>
            <w:r w:rsidRPr="001748D1">
              <w:rPr>
                <w:lang w:eastAsia="en-NZ"/>
              </w:rPr>
              <w:t>Logistics’ structure including any Logistics teams or personnel assigned elsewhere (such as Assembly Areas). The teams should cover all of the sub-functions. Remember that appointments and teams can cover multiple sub-functions.</w:t>
            </w:r>
          </w:p>
          <w:p w:rsidR="001748D1" w:rsidRPr="001748D1" w:rsidRDefault="001748D1" w:rsidP="001748D1">
            <w:pPr>
              <w:spacing w:before="0" w:after="0" w:line="240" w:lineRule="auto"/>
              <w:rPr>
                <w:sz w:val="24"/>
                <w:lang w:eastAsia="en-NZ"/>
              </w:rPr>
            </w:pPr>
          </w:p>
        </w:tc>
      </w:tr>
    </w:tbl>
    <w:p w:rsidR="001748D1" w:rsidRPr="001748D1" w:rsidRDefault="001748D1" w:rsidP="001748D1">
      <w:pPr>
        <w:pBdr>
          <w:bottom w:val="single" w:sz="6" w:space="1" w:color="AFAFAF" w:themeColor="accent1"/>
        </w:pBdr>
        <w:spacing w:before="40" w:after="40"/>
        <w:rPr>
          <w:rFonts w:ascii="Arial Narrow" w:hAnsi="Arial Narrow"/>
          <w:b/>
          <w:color w:val="005A9B" w:themeColor="background2"/>
          <w:sz w:val="24"/>
        </w:rPr>
      </w:pPr>
      <w:r w:rsidRPr="001748D1">
        <w:rPr>
          <w:rFonts w:ascii="Arial Narrow" w:hAnsi="Arial Narrow"/>
          <w:b/>
          <w:color w:val="005A9B" w:themeColor="background2"/>
          <w:sz w:val="24"/>
        </w:rPr>
        <w:t>Sub-functions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7704"/>
      </w:tblGrid>
      <w:tr w:rsidR="001748D1" w:rsidRPr="001748D1" w:rsidTr="00F6586D">
        <w:tc>
          <w:tcPr>
            <w:tcW w:w="1928" w:type="dxa"/>
            <w:tcMar>
              <w:right w:w="227" w:type="dxa"/>
            </w:tcMar>
          </w:tcPr>
          <w:p w:rsidR="001748D1" w:rsidRPr="001748D1" w:rsidRDefault="001748D1" w:rsidP="001748D1">
            <w:pPr>
              <w:rPr>
                <w:rFonts w:ascii="Arial Narrow" w:hAnsi="Arial Narrow"/>
                <w:b/>
                <w:color w:val="005A9B" w:themeColor="background2"/>
                <w:lang w:eastAsia="en-NZ"/>
              </w:rPr>
            </w:pPr>
          </w:p>
        </w:tc>
        <w:tc>
          <w:tcPr>
            <w:tcW w:w="7705" w:type="dxa"/>
          </w:tcPr>
          <w:p w:rsidR="001748D1" w:rsidRPr="001748D1" w:rsidRDefault="001748D1" w:rsidP="001748D1">
            <w:pPr>
              <w:rPr>
                <w:lang w:eastAsia="en-NZ"/>
              </w:rPr>
            </w:pPr>
            <w:r w:rsidRPr="001748D1">
              <w:rPr>
                <w:lang w:eastAsia="en-NZ"/>
              </w:rPr>
              <w:t xml:space="preserve">Sub-functions are delivered by teams. A team may cover multiple sub-functions, depending on the staff available and the assessed need for each sub-function. State which </w:t>
            </w:r>
            <w:proofErr w:type="gramStart"/>
            <w:r w:rsidRPr="001748D1">
              <w:rPr>
                <w:lang w:eastAsia="en-NZ"/>
              </w:rPr>
              <w:t>sub-function</w:t>
            </w:r>
            <w:proofErr w:type="gramEnd"/>
            <w:r w:rsidRPr="001748D1">
              <w:rPr>
                <w:lang w:eastAsia="en-NZ"/>
              </w:rPr>
              <w:t xml:space="preserve"> each team delivers.</w:t>
            </w:r>
          </w:p>
          <w:p w:rsidR="001748D1" w:rsidRPr="001748D1" w:rsidRDefault="001748D1" w:rsidP="001748D1">
            <w:pPr>
              <w:rPr>
                <w:lang w:eastAsia="en-NZ"/>
              </w:rPr>
            </w:pPr>
            <w:r w:rsidRPr="001748D1">
              <w:rPr>
                <w:lang w:eastAsia="en-NZ"/>
              </w:rPr>
              <w:t>For each of the sub-functions include:</w:t>
            </w:r>
          </w:p>
          <w:p w:rsidR="001748D1" w:rsidRPr="001748D1" w:rsidRDefault="001748D1" w:rsidP="009A3EB6">
            <w:pPr>
              <w:pStyle w:val="Bullet"/>
              <w:rPr>
                <w:lang w:eastAsia="en-NZ"/>
              </w:rPr>
            </w:pPr>
            <w:r w:rsidRPr="001748D1">
              <w:rPr>
                <w:lang w:eastAsia="en-NZ"/>
              </w:rPr>
              <w:t>their roles and specific responsibilities</w:t>
            </w:r>
          </w:p>
          <w:p w:rsidR="001748D1" w:rsidRPr="001748D1" w:rsidRDefault="001748D1" w:rsidP="009A3EB6">
            <w:pPr>
              <w:pStyle w:val="Bullet"/>
              <w:rPr>
                <w:lang w:eastAsia="en-NZ"/>
              </w:rPr>
            </w:pPr>
            <w:r w:rsidRPr="001748D1">
              <w:rPr>
                <w:lang w:eastAsia="en-NZ"/>
              </w:rPr>
              <w:t>their structure in the coordination centre and any other place they may have personnel deployed (such as Assembly Areas or ICPs), and personnel numbers required for each mode of activation, and</w:t>
            </w:r>
          </w:p>
          <w:p w:rsidR="001748D1" w:rsidRPr="001748D1" w:rsidRDefault="001748D1" w:rsidP="009A3EB6">
            <w:pPr>
              <w:pStyle w:val="Bullet"/>
              <w:rPr>
                <w:lang w:eastAsia="en-NZ"/>
              </w:rPr>
            </w:pPr>
            <w:proofErr w:type="gramStart"/>
            <w:r w:rsidRPr="001748D1">
              <w:rPr>
                <w:lang w:eastAsia="en-NZ"/>
              </w:rPr>
              <w:t>the</w:t>
            </w:r>
            <w:proofErr w:type="gramEnd"/>
            <w:r w:rsidRPr="001748D1">
              <w:rPr>
                <w:lang w:eastAsia="en-NZ"/>
              </w:rPr>
              <w:t xml:space="preserve"> content described in </w:t>
            </w:r>
            <w:r w:rsidR="009A3EB6">
              <w:rPr>
                <w:lang w:eastAsia="en-NZ"/>
              </w:rPr>
              <w:fldChar w:fldCharType="begin"/>
            </w:r>
            <w:r w:rsidR="009A3EB6">
              <w:rPr>
                <w:lang w:eastAsia="en-NZ"/>
              </w:rPr>
              <w:instrText xml:space="preserve"> REF _Ref418687673 \h </w:instrText>
            </w:r>
            <w:r w:rsidR="009A3EB6">
              <w:rPr>
                <w:lang w:eastAsia="en-NZ"/>
              </w:rPr>
            </w:r>
            <w:r w:rsidR="009A3EB6">
              <w:rPr>
                <w:lang w:eastAsia="en-NZ"/>
              </w:rPr>
              <w:fldChar w:fldCharType="separate"/>
            </w:r>
            <w:r w:rsidR="009A3EB6">
              <w:t xml:space="preserve">Table </w:t>
            </w:r>
            <w:r w:rsidR="009A3EB6">
              <w:rPr>
                <w:noProof/>
              </w:rPr>
              <w:t>1</w:t>
            </w:r>
            <w:r w:rsidR="009A3EB6">
              <w:rPr>
                <w:lang w:eastAsia="en-NZ"/>
              </w:rPr>
              <w:fldChar w:fldCharType="end"/>
            </w:r>
            <w:r w:rsidRPr="001748D1">
              <w:rPr>
                <w:lang w:eastAsia="en-NZ"/>
              </w:rPr>
              <w:t xml:space="preserve"> below.</w:t>
            </w:r>
          </w:p>
        </w:tc>
      </w:tr>
    </w:tbl>
    <w:p w:rsidR="001748D1" w:rsidRPr="001748D1" w:rsidRDefault="001748D1" w:rsidP="001748D1">
      <w:pPr>
        <w:spacing w:before="0" w:after="0" w:line="240" w:lineRule="auto"/>
        <w:rPr>
          <w:sz w:val="16"/>
        </w:rPr>
      </w:pPr>
    </w:p>
    <w:p w:rsidR="001748D1" w:rsidRDefault="001748D1" w:rsidP="001748D1">
      <w:pPr>
        <w:pStyle w:val="Caption"/>
        <w:keepNext/>
      </w:pPr>
      <w:bookmarkStart w:id="7" w:name="_Ref418687673"/>
      <w:r>
        <w:t xml:space="preserve">Table </w:t>
      </w:r>
      <w:fldSimple w:instr=" SEQ Table \* ARABIC ">
        <w:r>
          <w:rPr>
            <w:noProof/>
          </w:rPr>
          <w:t>1</w:t>
        </w:r>
      </w:fldSimple>
      <w:bookmarkEnd w:id="7"/>
      <w:r w:rsidRPr="001748D1">
        <w:t xml:space="preserve"> Sub-function procedures content</w:t>
      </w:r>
    </w:p>
    <w:tbl>
      <w:tblPr>
        <w:tblStyle w:val="TableGrid"/>
        <w:tblW w:w="9639" w:type="dxa"/>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ayout w:type="fixed"/>
        <w:tblLook w:val="04A0" w:firstRow="1" w:lastRow="0" w:firstColumn="1" w:lastColumn="0" w:noHBand="0" w:noVBand="1"/>
      </w:tblPr>
      <w:tblGrid>
        <w:gridCol w:w="1985"/>
        <w:gridCol w:w="7654"/>
      </w:tblGrid>
      <w:tr w:rsidR="001748D1" w:rsidRPr="001748D1" w:rsidTr="0068763B">
        <w:trPr>
          <w:cantSplit/>
        </w:trPr>
        <w:tc>
          <w:tcPr>
            <w:tcW w:w="1985" w:type="dxa"/>
            <w:tcBorders>
              <w:top w:val="single" w:sz="12" w:space="0" w:color="005A9B" w:themeColor="background2"/>
              <w:bottom w:val="nil"/>
              <w:right w:val="single" w:sz="6" w:space="0" w:color="FFFFFF" w:themeColor="background1"/>
            </w:tcBorders>
            <w:shd w:val="clear" w:color="auto" w:fill="005A9B" w:themeFill="background2"/>
          </w:tcPr>
          <w:p w:rsidR="001748D1" w:rsidRPr="001748D1" w:rsidRDefault="001748D1" w:rsidP="001748D1">
            <w:pPr>
              <w:spacing w:before="60" w:after="60" w:line="240" w:lineRule="auto"/>
              <w:rPr>
                <w:b/>
                <w:color w:val="FFFFFF"/>
                <w:lang w:eastAsia="en-NZ"/>
              </w:rPr>
            </w:pPr>
            <w:r w:rsidRPr="001748D1">
              <w:rPr>
                <w:b/>
                <w:color w:val="FFFFFF"/>
                <w:lang w:eastAsia="en-NZ"/>
              </w:rPr>
              <w:t>Sub-function</w:t>
            </w:r>
          </w:p>
        </w:tc>
        <w:tc>
          <w:tcPr>
            <w:tcW w:w="7654" w:type="dxa"/>
            <w:tcBorders>
              <w:top w:val="single" w:sz="12" w:space="0" w:color="005A9B" w:themeColor="background2"/>
              <w:left w:val="single" w:sz="6" w:space="0" w:color="FFFFFF" w:themeColor="background1"/>
              <w:bottom w:val="nil"/>
            </w:tcBorders>
            <w:shd w:val="clear" w:color="auto" w:fill="005A9B" w:themeFill="background2"/>
          </w:tcPr>
          <w:p w:rsidR="001748D1" w:rsidRPr="001748D1" w:rsidRDefault="001748D1" w:rsidP="001748D1">
            <w:pPr>
              <w:spacing w:before="60" w:after="60" w:line="240" w:lineRule="auto"/>
              <w:rPr>
                <w:b/>
                <w:color w:val="FFFFFF"/>
                <w:lang w:eastAsia="en-NZ"/>
              </w:rPr>
            </w:pPr>
            <w:r w:rsidRPr="001748D1">
              <w:rPr>
                <w:b/>
                <w:color w:val="FFFFFF"/>
                <w:lang w:eastAsia="en-NZ"/>
              </w:rPr>
              <w:t>Content to include</w:t>
            </w:r>
          </w:p>
        </w:tc>
      </w:tr>
      <w:tr w:rsidR="001748D1" w:rsidRPr="001748D1" w:rsidTr="0068763B">
        <w:trPr>
          <w:cantSplit/>
        </w:trPr>
        <w:tc>
          <w:tcPr>
            <w:tcW w:w="1985" w:type="dxa"/>
            <w:tcBorders>
              <w:top w:val="nil"/>
              <w:bottom w:val="single" w:sz="6" w:space="0" w:color="005A9B" w:themeColor="background2"/>
            </w:tcBorders>
          </w:tcPr>
          <w:p w:rsidR="001748D1" w:rsidRPr="001748D1" w:rsidRDefault="001748D1" w:rsidP="001748D1">
            <w:pPr>
              <w:spacing w:before="60" w:after="60" w:line="240" w:lineRule="auto"/>
              <w:rPr>
                <w:lang w:eastAsia="en-NZ"/>
              </w:rPr>
            </w:pPr>
            <w:r w:rsidRPr="001748D1">
              <w:rPr>
                <w:lang w:eastAsia="en-NZ"/>
              </w:rPr>
              <w:t>Management (Logistics)</w:t>
            </w:r>
          </w:p>
        </w:tc>
        <w:tc>
          <w:tcPr>
            <w:tcW w:w="7654" w:type="dxa"/>
            <w:tcBorders>
              <w:top w:val="nil"/>
              <w:bottom w:val="single" w:sz="6" w:space="0" w:color="005A9B" w:themeColor="background2"/>
            </w:tcBorders>
          </w:tcPr>
          <w:p w:rsidR="001748D1" w:rsidRPr="001748D1" w:rsidRDefault="001748D1" w:rsidP="009A3EB6">
            <w:pPr>
              <w:pStyle w:val="Tablebullet"/>
              <w:rPr>
                <w:lang w:eastAsia="en-NZ"/>
              </w:rPr>
            </w:pPr>
            <w:r w:rsidRPr="001748D1">
              <w:rPr>
                <w:lang w:eastAsia="en-NZ"/>
              </w:rPr>
              <w:t>Management appointments (alternate Managers, 2ICs).</w:t>
            </w:r>
          </w:p>
          <w:p w:rsidR="001748D1" w:rsidRPr="001748D1" w:rsidRDefault="001748D1" w:rsidP="009A3EB6">
            <w:pPr>
              <w:pStyle w:val="Tablebullet"/>
              <w:rPr>
                <w:lang w:eastAsia="en-NZ"/>
              </w:rPr>
            </w:pPr>
            <w:r w:rsidRPr="001748D1">
              <w:rPr>
                <w:lang w:eastAsia="en-NZ"/>
              </w:rPr>
              <w:t>Reporting framework.</w:t>
            </w:r>
          </w:p>
          <w:p w:rsidR="001748D1" w:rsidRPr="001748D1" w:rsidRDefault="001748D1" w:rsidP="009A3EB6">
            <w:pPr>
              <w:pStyle w:val="Tablebullet"/>
              <w:rPr>
                <w:lang w:eastAsia="en-NZ"/>
              </w:rPr>
            </w:pPr>
            <w:r w:rsidRPr="001748D1">
              <w:rPr>
                <w:lang w:eastAsia="en-NZ"/>
              </w:rPr>
              <w:t>Logistics contribution to operational planning</w:t>
            </w:r>
            <w:r w:rsidR="003A7734">
              <w:rPr>
                <w:lang w:eastAsia="en-NZ"/>
              </w:rPr>
              <w:t>.</w:t>
            </w:r>
          </w:p>
        </w:tc>
      </w:tr>
      <w:tr w:rsidR="001748D1" w:rsidRPr="001748D1" w:rsidTr="0068763B">
        <w:trPr>
          <w:cantSplit/>
        </w:trPr>
        <w:tc>
          <w:tcPr>
            <w:tcW w:w="1985" w:type="dxa"/>
            <w:tcBorders>
              <w:top w:val="single" w:sz="6" w:space="0" w:color="005A9B" w:themeColor="background2"/>
              <w:bottom w:val="single" w:sz="12" w:space="0" w:color="005A9B" w:themeColor="background2"/>
            </w:tcBorders>
          </w:tcPr>
          <w:p w:rsidR="001748D1" w:rsidRPr="001748D1" w:rsidRDefault="001748D1" w:rsidP="001748D1">
            <w:pPr>
              <w:spacing w:before="60" w:after="60" w:line="240" w:lineRule="auto"/>
              <w:rPr>
                <w:lang w:eastAsia="en-NZ"/>
              </w:rPr>
            </w:pPr>
            <w:r w:rsidRPr="001748D1">
              <w:rPr>
                <w:lang w:eastAsia="en-NZ"/>
              </w:rPr>
              <w:t>Finance section</w:t>
            </w:r>
          </w:p>
        </w:tc>
        <w:tc>
          <w:tcPr>
            <w:tcW w:w="7654" w:type="dxa"/>
            <w:tcBorders>
              <w:top w:val="single" w:sz="6" w:space="0" w:color="005A9B" w:themeColor="background2"/>
              <w:bottom w:val="single" w:sz="12" w:space="0" w:color="005A9B" w:themeColor="background2"/>
            </w:tcBorders>
          </w:tcPr>
          <w:p w:rsidR="001748D1" w:rsidRPr="001748D1" w:rsidRDefault="001748D1" w:rsidP="009A3EB6">
            <w:pPr>
              <w:pStyle w:val="Tablebullet"/>
              <w:rPr>
                <w:lang w:eastAsia="en-NZ"/>
              </w:rPr>
            </w:pPr>
            <w:r w:rsidRPr="001748D1">
              <w:rPr>
                <w:lang w:eastAsia="en-NZ"/>
              </w:rPr>
              <w:t>Describe the Finance Team in the coordination centre.</w:t>
            </w:r>
          </w:p>
          <w:p w:rsidR="001748D1" w:rsidRPr="001748D1" w:rsidRDefault="001748D1" w:rsidP="009A3EB6">
            <w:pPr>
              <w:pStyle w:val="Tablebullet"/>
              <w:rPr>
                <w:lang w:eastAsia="en-NZ"/>
              </w:rPr>
            </w:pPr>
            <w:r w:rsidRPr="001748D1">
              <w:rPr>
                <w:lang w:eastAsia="en-NZ"/>
              </w:rPr>
              <w:t>Include the procedures for:</w:t>
            </w:r>
          </w:p>
          <w:p w:rsidR="001748D1" w:rsidRPr="001748D1" w:rsidRDefault="00EE3242" w:rsidP="009A3EB6">
            <w:pPr>
              <w:pStyle w:val="Tablebullet"/>
              <w:numPr>
                <w:ilvl w:val="1"/>
                <w:numId w:val="15"/>
              </w:numPr>
              <w:rPr>
                <w:lang w:eastAsia="en-NZ"/>
              </w:rPr>
            </w:pPr>
            <w:r w:rsidRPr="001748D1">
              <w:rPr>
                <w:lang w:eastAsia="en-NZ"/>
              </w:rPr>
              <w:t xml:space="preserve">approving </w:t>
            </w:r>
            <w:r w:rsidR="001748D1" w:rsidRPr="001748D1">
              <w:rPr>
                <w:lang w:eastAsia="en-NZ"/>
              </w:rPr>
              <w:t>and paying invoices</w:t>
            </w:r>
          </w:p>
          <w:p w:rsidR="001748D1" w:rsidRPr="001748D1" w:rsidRDefault="00EE3242" w:rsidP="009A3EB6">
            <w:pPr>
              <w:pStyle w:val="Tablebullet"/>
              <w:numPr>
                <w:ilvl w:val="1"/>
                <w:numId w:val="15"/>
              </w:numPr>
              <w:rPr>
                <w:lang w:eastAsia="en-NZ"/>
              </w:rPr>
            </w:pPr>
            <w:r w:rsidRPr="001748D1">
              <w:rPr>
                <w:lang w:eastAsia="en-NZ"/>
              </w:rPr>
              <w:t xml:space="preserve">making </w:t>
            </w:r>
            <w:r w:rsidR="001748D1" w:rsidRPr="001748D1">
              <w:rPr>
                <w:lang w:eastAsia="en-NZ"/>
              </w:rPr>
              <w:t xml:space="preserve">cash advances and payments </w:t>
            </w:r>
          </w:p>
          <w:p w:rsidR="001748D1" w:rsidRPr="001748D1" w:rsidRDefault="001748D1" w:rsidP="009A3EB6">
            <w:pPr>
              <w:pStyle w:val="Tablebullet"/>
              <w:numPr>
                <w:ilvl w:val="1"/>
                <w:numId w:val="15"/>
              </w:numPr>
              <w:rPr>
                <w:lang w:eastAsia="en-NZ"/>
              </w:rPr>
            </w:pPr>
            <w:r w:rsidRPr="001748D1">
              <w:rPr>
                <w:lang w:eastAsia="en-NZ"/>
              </w:rPr>
              <w:t>auditing</w:t>
            </w:r>
          </w:p>
          <w:p w:rsidR="001748D1" w:rsidRPr="001748D1" w:rsidRDefault="001748D1" w:rsidP="009A3EB6">
            <w:pPr>
              <w:pStyle w:val="Tablebullet"/>
              <w:numPr>
                <w:ilvl w:val="1"/>
                <w:numId w:val="15"/>
              </w:numPr>
              <w:rPr>
                <w:lang w:eastAsia="en-NZ"/>
              </w:rPr>
            </w:pPr>
            <w:r w:rsidRPr="001748D1">
              <w:rPr>
                <w:lang w:eastAsia="en-NZ"/>
              </w:rPr>
              <w:t xml:space="preserve">tracking costs </w:t>
            </w:r>
          </w:p>
          <w:p w:rsidR="001748D1" w:rsidRPr="001748D1" w:rsidRDefault="001748D1" w:rsidP="009A3EB6">
            <w:pPr>
              <w:pStyle w:val="Tablebullet"/>
              <w:numPr>
                <w:ilvl w:val="1"/>
                <w:numId w:val="15"/>
              </w:numPr>
              <w:rPr>
                <w:lang w:eastAsia="en-NZ"/>
              </w:rPr>
            </w:pPr>
            <w:proofErr w:type="gramStart"/>
            <w:r w:rsidRPr="001748D1">
              <w:rPr>
                <w:lang w:eastAsia="en-NZ"/>
              </w:rPr>
              <w:t>establishing</w:t>
            </w:r>
            <w:proofErr w:type="gramEnd"/>
            <w:r w:rsidRPr="001748D1">
              <w:rPr>
                <w:lang w:eastAsia="en-NZ"/>
              </w:rPr>
              <w:t xml:space="preserve"> financial delegations</w:t>
            </w:r>
            <w:r w:rsidR="00EE3242">
              <w:rPr>
                <w:lang w:eastAsia="en-NZ"/>
              </w:rPr>
              <w:t>.</w:t>
            </w:r>
          </w:p>
        </w:tc>
      </w:tr>
    </w:tbl>
    <w:p w:rsidR="001748D1" w:rsidRPr="001748D1" w:rsidRDefault="001748D1" w:rsidP="001748D1">
      <w:pPr>
        <w:spacing w:before="60" w:after="60" w:line="240" w:lineRule="auto"/>
      </w:pPr>
    </w:p>
    <w:p w:rsidR="001748D1" w:rsidRPr="001748D1" w:rsidRDefault="001748D1" w:rsidP="001748D1">
      <w:pPr>
        <w:spacing w:before="60" w:after="60" w:line="240" w:lineRule="auto"/>
      </w:pPr>
    </w:p>
    <w:p w:rsidR="001748D1" w:rsidRPr="001748D1" w:rsidRDefault="001748D1" w:rsidP="001748D1">
      <w:pPr>
        <w:spacing w:before="0" w:after="0" w:line="240" w:lineRule="auto"/>
        <w:rPr>
          <w:sz w:val="16"/>
        </w:rPr>
      </w:pPr>
    </w:p>
    <w:tbl>
      <w:tblPr>
        <w:tblStyle w:val="TableGrid"/>
        <w:tblW w:w="9639" w:type="dxa"/>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ayout w:type="fixed"/>
        <w:tblLook w:val="04A0" w:firstRow="1" w:lastRow="0" w:firstColumn="1" w:lastColumn="0" w:noHBand="0" w:noVBand="1"/>
      </w:tblPr>
      <w:tblGrid>
        <w:gridCol w:w="1985"/>
        <w:gridCol w:w="7654"/>
      </w:tblGrid>
      <w:tr w:rsidR="001748D1" w:rsidRPr="001748D1" w:rsidTr="00F6586D">
        <w:trPr>
          <w:cantSplit/>
        </w:trPr>
        <w:tc>
          <w:tcPr>
            <w:tcW w:w="1985" w:type="dxa"/>
            <w:tcBorders>
              <w:top w:val="single" w:sz="6" w:space="0" w:color="005A9B" w:themeColor="background2"/>
              <w:bottom w:val="single" w:sz="6" w:space="0" w:color="005A9B" w:themeColor="background2"/>
              <w:right w:val="single" w:sz="6" w:space="0" w:color="FFFFFF" w:themeColor="background1"/>
            </w:tcBorders>
            <w:shd w:val="clear" w:color="auto" w:fill="005A9B" w:themeFill="background2"/>
          </w:tcPr>
          <w:p w:rsidR="001748D1" w:rsidRPr="001748D1" w:rsidRDefault="001748D1" w:rsidP="001748D1">
            <w:pPr>
              <w:spacing w:before="60" w:after="60" w:line="240" w:lineRule="auto"/>
              <w:rPr>
                <w:b/>
                <w:color w:val="FFFFFF"/>
                <w:lang w:eastAsia="en-NZ"/>
              </w:rPr>
            </w:pPr>
            <w:r w:rsidRPr="001748D1">
              <w:rPr>
                <w:b/>
                <w:color w:val="FFFFFF"/>
                <w:lang w:eastAsia="en-NZ"/>
              </w:rPr>
              <w:lastRenderedPageBreak/>
              <w:t>Sub-function</w:t>
            </w:r>
          </w:p>
        </w:tc>
        <w:tc>
          <w:tcPr>
            <w:tcW w:w="7654" w:type="dxa"/>
            <w:tcBorders>
              <w:top w:val="single" w:sz="6" w:space="0" w:color="005A9B" w:themeColor="background2"/>
              <w:left w:val="single" w:sz="6" w:space="0" w:color="FFFFFF" w:themeColor="background1"/>
              <w:bottom w:val="single" w:sz="6" w:space="0" w:color="005A9B" w:themeColor="background2"/>
            </w:tcBorders>
            <w:shd w:val="clear" w:color="auto" w:fill="005A9B" w:themeFill="background2"/>
          </w:tcPr>
          <w:p w:rsidR="001748D1" w:rsidRPr="001748D1" w:rsidRDefault="001748D1" w:rsidP="001748D1">
            <w:pPr>
              <w:spacing w:before="60" w:after="60" w:line="240" w:lineRule="auto"/>
              <w:rPr>
                <w:b/>
                <w:color w:val="FFFFFF"/>
                <w:lang w:eastAsia="en-NZ"/>
              </w:rPr>
            </w:pPr>
            <w:r w:rsidRPr="001748D1">
              <w:rPr>
                <w:b/>
                <w:color w:val="FFFFFF"/>
                <w:lang w:eastAsia="en-NZ"/>
              </w:rPr>
              <w:t>Content to include</w:t>
            </w:r>
          </w:p>
        </w:tc>
      </w:tr>
      <w:tr w:rsidR="001748D1" w:rsidRPr="001748D1" w:rsidTr="00F6586D">
        <w:trPr>
          <w:cantSplit/>
        </w:trPr>
        <w:tc>
          <w:tcPr>
            <w:tcW w:w="1985" w:type="dxa"/>
            <w:tcBorders>
              <w:top w:val="single" w:sz="6" w:space="0" w:color="005A9B" w:themeColor="background2"/>
              <w:bottom w:val="single" w:sz="6" w:space="0" w:color="005A9B" w:themeColor="background2"/>
            </w:tcBorders>
          </w:tcPr>
          <w:p w:rsidR="001748D1" w:rsidRPr="001748D1" w:rsidRDefault="001748D1" w:rsidP="001748D1">
            <w:pPr>
              <w:spacing w:before="60" w:after="60" w:line="240" w:lineRule="auto"/>
              <w:rPr>
                <w:lang w:eastAsia="en-NZ"/>
              </w:rPr>
            </w:pPr>
            <w:r w:rsidRPr="001748D1">
              <w:rPr>
                <w:lang w:eastAsia="en-NZ"/>
              </w:rPr>
              <w:t xml:space="preserve">Supply </w:t>
            </w:r>
          </w:p>
        </w:tc>
        <w:tc>
          <w:tcPr>
            <w:tcW w:w="7654" w:type="dxa"/>
            <w:tcBorders>
              <w:top w:val="single" w:sz="6" w:space="0" w:color="005A9B" w:themeColor="background2"/>
              <w:bottom w:val="single" w:sz="6" w:space="0" w:color="005A9B" w:themeColor="background2"/>
            </w:tcBorders>
          </w:tcPr>
          <w:p w:rsidR="001748D1" w:rsidRPr="001748D1" w:rsidRDefault="001748D1" w:rsidP="009A3EB6">
            <w:pPr>
              <w:pStyle w:val="Tablebullet"/>
              <w:rPr>
                <w:lang w:eastAsia="en-NZ"/>
              </w:rPr>
            </w:pPr>
            <w:r w:rsidRPr="001748D1">
              <w:rPr>
                <w:lang w:eastAsia="en-NZ"/>
              </w:rPr>
              <w:t xml:space="preserve">Description of supply chain, from requests to the Supply </w:t>
            </w:r>
            <w:r w:rsidR="003A7734">
              <w:rPr>
                <w:lang w:eastAsia="en-NZ"/>
              </w:rPr>
              <w:t>t</w:t>
            </w:r>
            <w:r w:rsidRPr="001748D1">
              <w:rPr>
                <w:lang w:eastAsia="en-NZ"/>
              </w:rPr>
              <w:t xml:space="preserve">eam on to providers and back to the requester. See </w:t>
            </w:r>
            <w:r w:rsidR="008A5E57">
              <w:rPr>
                <w:lang w:eastAsia="en-NZ"/>
              </w:rPr>
              <w:t xml:space="preserve">the </w:t>
            </w:r>
            <w:r w:rsidR="008A5E57" w:rsidRPr="008A5E57">
              <w:rPr>
                <w:i/>
                <w:lang w:eastAsia="en-NZ"/>
              </w:rPr>
              <w:t xml:space="preserve">Supply </w:t>
            </w:r>
            <w:r w:rsidR="008A5E57">
              <w:rPr>
                <w:i/>
                <w:lang w:eastAsia="en-NZ"/>
              </w:rPr>
              <w:t>r</w:t>
            </w:r>
            <w:r w:rsidR="008A5E57" w:rsidRPr="008A5E57">
              <w:rPr>
                <w:i/>
                <w:lang w:eastAsia="en-NZ"/>
              </w:rPr>
              <w:t>elationships</w:t>
            </w:r>
            <w:r w:rsidR="008A5E57">
              <w:rPr>
                <w:lang w:eastAsia="en-NZ"/>
              </w:rPr>
              <w:t xml:space="preserve"> diagram in </w:t>
            </w:r>
            <w:r w:rsidR="008A5E57" w:rsidRPr="008A5E57">
              <w:rPr>
                <w:i/>
                <w:lang w:eastAsia="en-NZ"/>
              </w:rPr>
              <w:t>section 3.4 of the Logistics in CDEM guideline</w:t>
            </w:r>
            <w:r w:rsidR="008A5E57">
              <w:rPr>
                <w:lang w:eastAsia="en-NZ"/>
              </w:rPr>
              <w:t>.</w:t>
            </w:r>
          </w:p>
          <w:p w:rsidR="001748D1" w:rsidRPr="001748D1" w:rsidRDefault="001748D1" w:rsidP="009A3EB6">
            <w:pPr>
              <w:pStyle w:val="Tablebullet"/>
              <w:rPr>
                <w:lang w:eastAsia="en-NZ"/>
              </w:rPr>
            </w:pPr>
            <w:r w:rsidRPr="001748D1">
              <w:rPr>
                <w:lang w:eastAsia="en-NZ"/>
              </w:rPr>
              <w:t>The procurement and Resource Request processes.</w:t>
            </w:r>
          </w:p>
        </w:tc>
      </w:tr>
      <w:tr w:rsidR="001748D1" w:rsidRPr="001748D1" w:rsidTr="00F6586D">
        <w:trPr>
          <w:cantSplit/>
        </w:trPr>
        <w:tc>
          <w:tcPr>
            <w:tcW w:w="1985" w:type="dxa"/>
            <w:tcBorders>
              <w:top w:val="single" w:sz="6" w:space="0" w:color="005A9B" w:themeColor="background2"/>
              <w:bottom w:val="single" w:sz="6" w:space="0" w:color="005A9B" w:themeColor="background2"/>
            </w:tcBorders>
          </w:tcPr>
          <w:p w:rsidR="001748D1" w:rsidRPr="001748D1" w:rsidRDefault="001748D1" w:rsidP="001748D1">
            <w:pPr>
              <w:spacing w:before="60" w:after="60" w:line="240" w:lineRule="auto"/>
              <w:rPr>
                <w:lang w:eastAsia="en-NZ"/>
              </w:rPr>
            </w:pPr>
            <w:r w:rsidRPr="001748D1">
              <w:rPr>
                <w:lang w:eastAsia="en-NZ"/>
              </w:rPr>
              <w:t xml:space="preserve">ICT </w:t>
            </w:r>
          </w:p>
        </w:tc>
        <w:tc>
          <w:tcPr>
            <w:tcW w:w="7654" w:type="dxa"/>
            <w:tcBorders>
              <w:top w:val="single" w:sz="6" w:space="0" w:color="005A9B" w:themeColor="background2"/>
              <w:bottom w:val="single" w:sz="6" w:space="0" w:color="005A9B" w:themeColor="background2"/>
            </w:tcBorders>
          </w:tcPr>
          <w:p w:rsidR="001748D1" w:rsidRPr="001748D1" w:rsidRDefault="001748D1" w:rsidP="009A3EB6">
            <w:pPr>
              <w:pStyle w:val="Tablebullet"/>
              <w:rPr>
                <w:lang w:eastAsia="en-NZ"/>
              </w:rPr>
            </w:pPr>
            <w:r w:rsidRPr="001748D1">
              <w:rPr>
                <w:lang w:eastAsia="en-NZ"/>
              </w:rPr>
              <w:t xml:space="preserve">Describe </w:t>
            </w:r>
            <w:r w:rsidR="003A7734">
              <w:rPr>
                <w:lang w:eastAsia="en-NZ"/>
              </w:rPr>
              <w:t>communications arrangements (</w:t>
            </w:r>
            <w:r w:rsidRPr="001748D1">
              <w:rPr>
                <w:lang w:eastAsia="en-NZ"/>
              </w:rPr>
              <w:t>phone, e-mail, radio etc</w:t>
            </w:r>
            <w:r w:rsidR="003A7734">
              <w:rPr>
                <w:lang w:eastAsia="en-NZ"/>
              </w:rPr>
              <w:t>)</w:t>
            </w:r>
            <w:r w:rsidRPr="001748D1">
              <w:rPr>
                <w:lang w:eastAsia="en-NZ"/>
              </w:rPr>
              <w:t>.</w:t>
            </w:r>
          </w:p>
          <w:p w:rsidR="001748D1" w:rsidRPr="001748D1" w:rsidRDefault="001748D1" w:rsidP="009A3EB6">
            <w:pPr>
              <w:pStyle w:val="Tablebullet"/>
              <w:rPr>
                <w:lang w:eastAsia="en-NZ"/>
              </w:rPr>
            </w:pPr>
            <w:r w:rsidRPr="001748D1">
              <w:rPr>
                <w:lang w:eastAsia="en-NZ"/>
              </w:rPr>
              <w:t>Describe IT setup for the coordination centre, as well as from the coordination centre to other parts of the response.</w:t>
            </w:r>
          </w:p>
          <w:p w:rsidR="001748D1" w:rsidRPr="001748D1" w:rsidRDefault="001748D1" w:rsidP="009A3EB6">
            <w:pPr>
              <w:pStyle w:val="Tablebullet"/>
              <w:rPr>
                <w:lang w:eastAsia="en-NZ"/>
              </w:rPr>
            </w:pPr>
            <w:r w:rsidRPr="001748D1">
              <w:rPr>
                <w:lang w:eastAsia="en-NZ"/>
              </w:rPr>
              <w:t>Describe fault procedure and connection to BAU IT office</w:t>
            </w:r>
            <w:r w:rsidR="00EE3242">
              <w:rPr>
                <w:lang w:eastAsia="en-NZ"/>
              </w:rPr>
              <w:t>.</w:t>
            </w:r>
          </w:p>
        </w:tc>
      </w:tr>
      <w:tr w:rsidR="001748D1" w:rsidRPr="001748D1" w:rsidTr="00F6586D">
        <w:trPr>
          <w:cantSplit/>
        </w:trPr>
        <w:tc>
          <w:tcPr>
            <w:tcW w:w="1985" w:type="dxa"/>
            <w:tcBorders>
              <w:top w:val="single" w:sz="6" w:space="0" w:color="005A9B" w:themeColor="background2"/>
              <w:bottom w:val="single" w:sz="6" w:space="0" w:color="005A9B" w:themeColor="background2"/>
            </w:tcBorders>
          </w:tcPr>
          <w:p w:rsidR="001748D1" w:rsidRPr="001748D1" w:rsidRDefault="001748D1" w:rsidP="001748D1">
            <w:pPr>
              <w:spacing w:before="60" w:after="60" w:line="240" w:lineRule="auto"/>
              <w:rPr>
                <w:lang w:eastAsia="en-NZ"/>
              </w:rPr>
            </w:pPr>
            <w:r w:rsidRPr="001748D1">
              <w:rPr>
                <w:lang w:eastAsia="en-NZ"/>
              </w:rPr>
              <w:t>Administration</w:t>
            </w:r>
          </w:p>
        </w:tc>
        <w:tc>
          <w:tcPr>
            <w:tcW w:w="7654" w:type="dxa"/>
            <w:tcBorders>
              <w:top w:val="single" w:sz="6" w:space="0" w:color="005A9B" w:themeColor="background2"/>
              <w:bottom w:val="single" w:sz="6" w:space="0" w:color="005A9B" w:themeColor="background2"/>
            </w:tcBorders>
          </w:tcPr>
          <w:p w:rsidR="001748D1" w:rsidRPr="001748D1" w:rsidRDefault="001748D1" w:rsidP="009A3EB6">
            <w:pPr>
              <w:pStyle w:val="Tablebullet"/>
              <w:rPr>
                <w:lang w:eastAsia="en-NZ"/>
              </w:rPr>
            </w:pPr>
            <w:r w:rsidRPr="001748D1">
              <w:rPr>
                <w:lang w:eastAsia="en-NZ"/>
              </w:rPr>
              <w:t>Describe how the coordination centre is supplied and maintained, and list the points of contact for these.</w:t>
            </w:r>
          </w:p>
          <w:p w:rsidR="001748D1" w:rsidRPr="001748D1" w:rsidRDefault="001748D1" w:rsidP="009A3EB6">
            <w:pPr>
              <w:pStyle w:val="Tablebullet"/>
              <w:rPr>
                <w:lang w:eastAsia="en-NZ"/>
              </w:rPr>
            </w:pPr>
            <w:r w:rsidRPr="001748D1">
              <w:rPr>
                <w:lang w:eastAsia="en-NZ"/>
              </w:rPr>
              <w:t>Describe the rostering system, how it is developed and where it is stored.</w:t>
            </w:r>
          </w:p>
          <w:p w:rsidR="001748D1" w:rsidRPr="001748D1" w:rsidRDefault="001748D1" w:rsidP="009A3EB6">
            <w:pPr>
              <w:pStyle w:val="Tablebullet"/>
              <w:rPr>
                <w:lang w:eastAsia="en-NZ"/>
              </w:rPr>
            </w:pPr>
            <w:r w:rsidRPr="001748D1">
              <w:rPr>
                <w:lang w:eastAsia="en-NZ"/>
              </w:rPr>
              <w:t>Describe the document management system, and how to access it.</w:t>
            </w:r>
          </w:p>
          <w:p w:rsidR="001748D1" w:rsidRPr="001748D1" w:rsidRDefault="001748D1" w:rsidP="009A3EB6">
            <w:pPr>
              <w:pStyle w:val="Tablebullet"/>
              <w:rPr>
                <w:lang w:eastAsia="en-NZ"/>
              </w:rPr>
            </w:pPr>
            <w:r w:rsidRPr="001748D1">
              <w:rPr>
                <w:lang w:eastAsia="en-NZ"/>
              </w:rPr>
              <w:t>Describe catering arrangements for the coordination centre.</w:t>
            </w:r>
          </w:p>
          <w:p w:rsidR="001748D1" w:rsidRPr="001748D1" w:rsidRDefault="001748D1" w:rsidP="009A3EB6">
            <w:pPr>
              <w:pStyle w:val="Tablebullet"/>
              <w:rPr>
                <w:lang w:eastAsia="en-NZ"/>
              </w:rPr>
            </w:pPr>
            <w:r w:rsidRPr="001748D1">
              <w:rPr>
                <w:lang w:eastAsia="en-NZ"/>
              </w:rPr>
              <w:t>Describe access control, if Administration is responsible for access.</w:t>
            </w:r>
          </w:p>
        </w:tc>
      </w:tr>
      <w:tr w:rsidR="001748D1" w:rsidRPr="001748D1" w:rsidTr="00F6586D">
        <w:trPr>
          <w:cantSplit/>
        </w:trPr>
        <w:tc>
          <w:tcPr>
            <w:tcW w:w="1985" w:type="dxa"/>
            <w:tcBorders>
              <w:top w:val="single" w:sz="6" w:space="0" w:color="005A9B" w:themeColor="background2"/>
              <w:bottom w:val="single" w:sz="6" w:space="0" w:color="005A9B" w:themeColor="background2"/>
            </w:tcBorders>
          </w:tcPr>
          <w:p w:rsidR="001748D1" w:rsidRPr="001748D1" w:rsidRDefault="001748D1" w:rsidP="001748D1">
            <w:pPr>
              <w:spacing w:before="60" w:after="60" w:line="240" w:lineRule="auto"/>
              <w:rPr>
                <w:lang w:eastAsia="en-NZ"/>
              </w:rPr>
            </w:pPr>
            <w:r w:rsidRPr="001748D1">
              <w:rPr>
                <w:lang w:eastAsia="en-NZ"/>
              </w:rPr>
              <w:t>Personnel</w:t>
            </w:r>
          </w:p>
        </w:tc>
        <w:tc>
          <w:tcPr>
            <w:tcW w:w="7654" w:type="dxa"/>
            <w:tcBorders>
              <w:top w:val="single" w:sz="6" w:space="0" w:color="005A9B" w:themeColor="background2"/>
              <w:bottom w:val="single" w:sz="6" w:space="0" w:color="005A9B" w:themeColor="background2"/>
            </w:tcBorders>
          </w:tcPr>
          <w:p w:rsidR="001748D1" w:rsidRPr="001748D1" w:rsidRDefault="001748D1" w:rsidP="009A3EB6">
            <w:pPr>
              <w:pStyle w:val="Tablebullet"/>
              <w:rPr>
                <w:lang w:eastAsia="en-NZ"/>
              </w:rPr>
            </w:pPr>
            <w:r w:rsidRPr="001748D1">
              <w:rPr>
                <w:lang w:eastAsia="en-NZ"/>
              </w:rPr>
              <w:t>Describe</w:t>
            </w:r>
            <w:r w:rsidR="007E3F4E">
              <w:rPr>
                <w:lang w:eastAsia="en-NZ"/>
              </w:rPr>
              <w:t xml:space="preserve"> volunteer</w:t>
            </w:r>
            <w:r w:rsidRPr="001748D1">
              <w:rPr>
                <w:lang w:eastAsia="en-NZ"/>
              </w:rPr>
              <w:t xml:space="preserve"> registration system, </w:t>
            </w:r>
            <w:r w:rsidR="007E3F4E">
              <w:rPr>
                <w:lang w:eastAsia="en-NZ"/>
              </w:rPr>
              <w:t xml:space="preserve">and </w:t>
            </w:r>
            <w:r w:rsidRPr="001748D1">
              <w:rPr>
                <w:lang w:eastAsia="en-NZ"/>
              </w:rPr>
              <w:t>also how staff are categorised, trained and accommodated.</w:t>
            </w:r>
          </w:p>
        </w:tc>
      </w:tr>
      <w:tr w:rsidR="001748D1" w:rsidRPr="001748D1" w:rsidTr="00F6586D">
        <w:trPr>
          <w:cantSplit/>
        </w:trPr>
        <w:tc>
          <w:tcPr>
            <w:tcW w:w="1985" w:type="dxa"/>
            <w:tcBorders>
              <w:top w:val="single" w:sz="6" w:space="0" w:color="005A9B" w:themeColor="background2"/>
              <w:bottom w:val="single" w:sz="6" w:space="0" w:color="005A9B" w:themeColor="background2"/>
            </w:tcBorders>
          </w:tcPr>
          <w:p w:rsidR="001748D1" w:rsidRPr="001748D1" w:rsidRDefault="001748D1" w:rsidP="001748D1">
            <w:pPr>
              <w:spacing w:before="60" w:after="60" w:line="240" w:lineRule="auto"/>
              <w:rPr>
                <w:lang w:eastAsia="en-NZ"/>
              </w:rPr>
            </w:pPr>
            <w:r w:rsidRPr="001748D1">
              <w:rPr>
                <w:lang w:eastAsia="en-NZ"/>
              </w:rPr>
              <w:t xml:space="preserve">Transport </w:t>
            </w:r>
          </w:p>
        </w:tc>
        <w:tc>
          <w:tcPr>
            <w:tcW w:w="7654" w:type="dxa"/>
            <w:tcBorders>
              <w:top w:val="single" w:sz="6" w:space="0" w:color="005A9B" w:themeColor="background2"/>
              <w:bottom w:val="single" w:sz="6" w:space="0" w:color="005A9B" w:themeColor="background2"/>
            </w:tcBorders>
          </w:tcPr>
          <w:p w:rsidR="001748D1" w:rsidRPr="001748D1" w:rsidRDefault="001748D1" w:rsidP="009A3EB6">
            <w:pPr>
              <w:pStyle w:val="Tablebullet"/>
              <w:rPr>
                <w:lang w:eastAsia="en-NZ"/>
              </w:rPr>
            </w:pPr>
            <w:r w:rsidRPr="001748D1">
              <w:rPr>
                <w:lang w:eastAsia="en-NZ"/>
              </w:rPr>
              <w:t>State that if Transport is not established during response, these responsibilities are carried out by Supply.</w:t>
            </w:r>
          </w:p>
          <w:p w:rsidR="001748D1" w:rsidRPr="001748D1" w:rsidRDefault="001748D1" w:rsidP="009A3EB6">
            <w:pPr>
              <w:pStyle w:val="Tablebullet"/>
              <w:rPr>
                <w:lang w:eastAsia="en-NZ"/>
              </w:rPr>
            </w:pPr>
            <w:r w:rsidRPr="001748D1">
              <w:rPr>
                <w:lang w:eastAsia="en-NZ"/>
              </w:rPr>
              <w:t>Describe how resources are moved within the CDEM Group/Local Authority, when CDEM Logistics is providing the transport (can refer to national or agency organised transport if ne</w:t>
            </w:r>
            <w:r w:rsidR="003A7734">
              <w:rPr>
                <w:lang w:eastAsia="en-NZ"/>
              </w:rPr>
              <w:t>cessary).</w:t>
            </w:r>
          </w:p>
          <w:p w:rsidR="001748D1" w:rsidRPr="001748D1" w:rsidRDefault="001748D1" w:rsidP="009A3EB6">
            <w:pPr>
              <w:pStyle w:val="Tablebullet"/>
              <w:rPr>
                <w:lang w:eastAsia="en-NZ"/>
              </w:rPr>
            </w:pPr>
            <w:r w:rsidRPr="001748D1">
              <w:rPr>
                <w:lang w:eastAsia="en-NZ"/>
              </w:rPr>
              <w:t>List any dedicated vehicles, and likely transport providers.</w:t>
            </w:r>
          </w:p>
        </w:tc>
      </w:tr>
      <w:tr w:rsidR="001748D1" w:rsidRPr="001748D1" w:rsidTr="00F6586D">
        <w:trPr>
          <w:cantSplit/>
        </w:trPr>
        <w:tc>
          <w:tcPr>
            <w:tcW w:w="1985" w:type="dxa"/>
            <w:tcBorders>
              <w:top w:val="single" w:sz="6" w:space="0" w:color="005A9B" w:themeColor="background2"/>
              <w:bottom w:val="single" w:sz="6" w:space="0" w:color="005A9B" w:themeColor="background2"/>
            </w:tcBorders>
          </w:tcPr>
          <w:p w:rsidR="001748D1" w:rsidRPr="001748D1" w:rsidRDefault="001748D1" w:rsidP="001748D1">
            <w:pPr>
              <w:spacing w:before="60" w:after="60" w:line="240" w:lineRule="auto"/>
              <w:rPr>
                <w:lang w:eastAsia="en-NZ"/>
              </w:rPr>
            </w:pPr>
            <w:r w:rsidRPr="001748D1">
              <w:rPr>
                <w:lang w:eastAsia="en-NZ"/>
              </w:rPr>
              <w:t>Facilities</w:t>
            </w:r>
          </w:p>
        </w:tc>
        <w:tc>
          <w:tcPr>
            <w:tcW w:w="7654" w:type="dxa"/>
            <w:tcBorders>
              <w:top w:val="single" w:sz="6" w:space="0" w:color="005A9B" w:themeColor="background2"/>
              <w:bottom w:val="single" w:sz="6" w:space="0" w:color="005A9B" w:themeColor="background2"/>
            </w:tcBorders>
          </w:tcPr>
          <w:p w:rsidR="001748D1" w:rsidRPr="001748D1" w:rsidRDefault="001748D1" w:rsidP="009A3EB6">
            <w:pPr>
              <w:pStyle w:val="Tablebullet"/>
              <w:rPr>
                <w:lang w:eastAsia="en-NZ"/>
              </w:rPr>
            </w:pPr>
            <w:r w:rsidRPr="001748D1">
              <w:rPr>
                <w:lang w:eastAsia="en-NZ"/>
              </w:rPr>
              <w:t xml:space="preserve">Describe the Facilities </w:t>
            </w:r>
            <w:r w:rsidR="003A7734">
              <w:rPr>
                <w:lang w:eastAsia="en-NZ"/>
              </w:rPr>
              <w:t>t</w:t>
            </w:r>
            <w:r w:rsidRPr="001748D1">
              <w:rPr>
                <w:lang w:eastAsia="en-NZ"/>
              </w:rPr>
              <w:t>eam in the coordination centre.</w:t>
            </w:r>
          </w:p>
          <w:p w:rsidR="001748D1" w:rsidRPr="001748D1" w:rsidRDefault="001748D1" w:rsidP="009A3EB6">
            <w:pPr>
              <w:pStyle w:val="Tablebullet"/>
              <w:rPr>
                <w:lang w:eastAsia="en-NZ"/>
              </w:rPr>
            </w:pPr>
            <w:r w:rsidRPr="001748D1">
              <w:rPr>
                <w:lang w:eastAsia="en-NZ"/>
              </w:rPr>
              <w:t>List tasks that the Facilities team are likely to perform (e.g. find response accommodation, find Welfare Centre or Assembly Area locations, ma</w:t>
            </w:r>
            <w:r w:rsidR="003A7734">
              <w:rPr>
                <w:lang w:eastAsia="en-NZ"/>
              </w:rPr>
              <w:t>intain coordination centre etc)</w:t>
            </w:r>
            <w:r w:rsidRPr="001748D1">
              <w:rPr>
                <w:lang w:eastAsia="en-NZ"/>
              </w:rPr>
              <w:t>. Include criteria.</w:t>
            </w:r>
          </w:p>
          <w:p w:rsidR="001748D1" w:rsidRPr="001748D1" w:rsidRDefault="001748D1" w:rsidP="009A3EB6">
            <w:pPr>
              <w:pStyle w:val="Tablebullet"/>
              <w:rPr>
                <w:lang w:eastAsia="en-NZ"/>
              </w:rPr>
            </w:pPr>
            <w:r w:rsidRPr="001748D1">
              <w:rPr>
                <w:lang w:eastAsia="en-NZ"/>
              </w:rPr>
              <w:t>Describe in outline how accommodation for response personnel might be provided in the area.</w:t>
            </w:r>
          </w:p>
          <w:p w:rsidR="001748D1" w:rsidRPr="001748D1" w:rsidRDefault="001748D1" w:rsidP="009A3EB6">
            <w:pPr>
              <w:pStyle w:val="Tablebullet"/>
              <w:rPr>
                <w:lang w:eastAsia="en-NZ"/>
              </w:rPr>
            </w:pPr>
            <w:r w:rsidRPr="001748D1">
              <w:rPr>
                <w:lang w:eastAsia="en-NZ"/>
              </w:rPr>
              <w:t>List points of contact for potential facility hire.</w:t>
            </w:r>
          </w:p>
        </w:tc>
      </w:tr>
      <w:tr w:rsidR="001748D1" w:rsidRPr="001748D1" w:rsidTr="00F6586D">
        <w:trPr>
          <w:cantSplit/>
        </w:trPr>
        <w:tc>
          <w:tcPr>
            <w:tcW w:w="1985" w:type="dxa"/>
            <w:tcBorders>
              <w:top w:val="single" w:sz="6" w:space="0" w:color="005A9B" w:themeColor="background2"/>
              <w:bottom w:val="single" w:sz="12" w:space="0" w:color="005A9B" w:themeColor="background2"/>
            </w:tcBorders>
          </w:tcPr>
          <w:p w:rsidR="001748D1" w:rsidRPr="001748D1" w:rsidRDefault="001748D1" w:rsidP="001748D1">
            <w:pPr>
              <w:spacing w:before="60" w:after="60" w:line="240" w:lineRule="auto"/>
              <w:rPr>
                <w:lang w:eastAsia="en-NZ"/>
              </w:rPr>
            </w:pPr>
            <w:r w:rsidRPr="001748D1">
              <w:rPr>
                <w:lang w:eastAsia="en-NZ"/>
              </w:rPr>
              <w:t>Catering</w:t>
            </w:r>
          </w:p>
        </w:tc>
        <w:tc>
          <w:tcPr>
            <w:tcW w:w="7654" w:type="dxa"/>
            <w:tcBorders>
              <w:top w:val="single" w:sz="6" w:space="0" w:color="005A9B" w:themeColor="background2"/>
              <w:bottom w:val="single" w:sz="12" w:space="0" w:color="005A9B" w:themeColor="background2"/>
            </w:tcBorders>
          </w:tcPr>
          <w:p w:rsidR="001748D1" w:rsidRPr="001748D1" w:rsidRDefault="001748D1" w:rsidP="009A3EB6">
            <w:pPr>
              <w:pStyle w:val="Tablebullet"/>
              <w:rPr>
                <w:lang w:eastAsia="en-NZ"/>
              </w:rPr>
            </w:pPr>
            <w:r w:rsidRPr="001748D1">
              <w:rPr>
                <w:lang w:eastAsia="en-NZ"/>
              </w:rPr>
              <w:t>State that if catering is not established during response, these responsibilities are carried out by Supply.</w:t>
            </w:r>
          </w:p>
          <w:p w:rsidR="001748D1" w:rsidRPr="001748D1" w:rsidRDefault="001748D1" w:rsidP="009A3EB6">
            <w:pPr>
              <w:pStyle w:val="Tablebullet"/>
              <w:rPr>
                <w:lang w:eastAsia="en-NZ"/>
              </w:rPr>
            </w:pPr>
            <w:r w:rsidRPr="001748D1">
              <w:rPr>
                <w:lang w:eastAsia="en-NZ"/>
              </w:rPr>
              <w:t>The structure of Catering staff and teams at coordination centre and/or Assembly Areas.</w:t>
            </w:r>
          </w:p>
          <w:p w:rsidR="001748D1" w:rsidRPr="001748D1" w:rsidRDefault="001748D1" w:rsidP="009A3EB6">
            <w:pPr>
              <w:pStyle w:val="Tablebullet"/>
              <w:rPr>
                <w:lang w:eastAsia="en-NZ"/>
              </w:rPr>
            </w:pPr>
            <w:r w:rsidRPr="001748D1">
              <w:rPr>
                <w:lang w:eastAsia="en-NZ"/>
              </w:rPr>
              <w:t>The procedure for calculating catering figures.</w:t>
            </w:r>
          </w:p>
          <w:p w:rsidR="001748D1" w:rsidRPr="001748D1" w:rsidRDefault="001748D1" w:rsidP="009A3EB6">
            <w:pPr>
              <w:pStyle w:val="Tablebullet"/>
              <w:rPr>
                <w:lang w:eastAsia="en-NZ"/>
              </w:rPr>
            </w:pPr>
            <w:r w:rsidRPr="001748D1">
              <w:rPr>
                <w:lang w:eastAsia="en-NZ"/>
              </w:rPr>
              <w:t xml:space="preserve">The procedure for ordering and delivering meals to response personnel (with Transport). </w:t>
            </w:r>
          </w:p>
          <w:p w:rsidR="001748D1" w:rsidRPr="001748D1" w:rsidRDefault="001748D1" w:rsidP="009A3EB6">
            <w:pPr>
              <w:pStyle w:val="Tablebullet"/>
              <w:rPr>
                <w:lang w:eastAsia="en-NZ"/>
              </w:rPr>
            </w:pPr>
            <w:r w:rsidRPr="001748D1">
              <w:rPr>
                <w:lang w:eastAsia="en-NZ"/>
              </w:rPr>
              <w:t>Likely providers.</w:t>
            </w:r>
          </w:p>
        </w:tc>
      </w:tr>
    </w:tbl>
    <w:p w:rsidR="001748D1" w:rsidRPr="001748D1" w:rsidRDefault="001748D1" w:rsidP="001748D1">
      <w:pPr>
        <w:pBdr>
          <w:bottom w:val="single" w:sz="6" w:space="1" w:color="AFAFAF" w:themeColor="accent1"/>
        </w:pBdr>
        <w:spacing w:before="40" w:after="40"/>
        <w:rPr>
          <w:rFonts w:ascii="Arial Narrow" w:hAnsi="Arial Narrow"/>
          <w:b/>
          <w:color w:val="005A9B" w:themeColor="background2"/>
          <w:sz w:val="24"/>
        </w:rPr>
      </w:pPr>
    </w:p>
    <w:p w:rsidR="001748D1" w:rsidRPr="001748D1" w:rsidRDefault="001748D1" w:rsidP="001748D1">
      <w:pPr>
        <w:pBdr>
          <w:bottom w:val="single" w:sz="6" w:space="1" w:color="AFAFAF" w:themeColor="accent1"/>
        </w:pBdr>
        <w:spacing w:before="40" w:after="40"/>
        <w:rPr>
          <w:rFonts w:ascii="Arial Narrow" w:hAnsi="Arial Narrow"/>
          <w:b/>
          <w:color w:val="005A9B" w:themeColor="background2"/>
          <w:sz w:val="24"/>
        </w:rPr>
      </w:pPr>
      <w:r w:rsidRPr="001748D1">
        <w:rPr>
          <w:rFonts w:ascii="Arial Narrow" w:hAnsi="Arial Narrow"/>
          <w:b/>
          <w:color w:val="005A9B" w:themeColor="background2"/>
          <w:sz w:val="24"/>
        </w:rPr>
        <w:t>Individual Procedures</w:t>
      </w:r>
    </w:p>
    <w:tbl>
      <w:tblPr>
        <w:tblStyle w:val="TableGrid"/>
        <w:tblW w:w="96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7705"/>
      </w:tblGrid>
      <w:tr w:rsidR="001748D1" w:rsidRPr="001748D1" w:rsidTr="00F6586D">
        <w:tc>
          <w:tcPr>
            <w:tcW w:w="1928" w:type="dxa"/>
            <w:tcMar>
              <w:right w:w="227" w:type="dxa"/>
            </w:tcMar>
          </w:tcPr>
          <w:p w:rsidR="001748D1" w:rsidRPr="001748D1" w:rsidRDefault="001748D1" w:rsidP="001748D1">
            <w:pPr>
              <w:rPr>
                <w:rFonts w:ascii="Arial Narrow" w:hAnsi="Arial Narrow"/>
                <w:b/>
                <w:color w:val="005A9B" w:themeColor="background2"/>
                <w:lang w:eastAsia="en-NZ"/>
              </w:rPr>
            </w:pPr>
          </w:p>
        </w:tc>
        <w:tc>
          <w:tcPr>
            <w:tcW w:w="7705" w:type="dxa"/>
          </w:tcPr>
          <w:p w:rsidR="008A5E57" w:rsidRDefault="001748D1" w:rsidP="008A5E57">
            <w:pPr>
              <w:rPr>
                <w:lang w:eastAsia="en-NZ"/>
              </w:rPr>
            </w:pPr>
            <w:r w:rsidRPr="001748D1">
              <w:rPr>
                <w:lang w:eastAsia="en-NZ"/>
              </w:rPr>
              <w:t xml:space="preserve">Include the processes and documentation prepared under </w:t>
            </w:r>
            <w:r w:rsidRPr="008A5E57">
              <w:rPr>
                <w:i/>
                <w:lang w:eastAsia="en-NZ"/>
              </w:rPr>
              <w:fldChar w:fldCharType="begin"/>
            </w:r>
            <w:r w:rsidRPr="008A5E57">
              <w:rPr>
                <w:i/>
                <w:lang w:eastAsia="en-NZ"/>
              </w:rPr>
              <w:instrText xml:space="preserve"> REF Sectionreadiness \n \h  \* MERGEFORMAT </w:instrText>
            </w:r>
            <w:r w:rsidRPr="008A5E57">
              <w:rPr>
                <w:i/>
                <w:lang w:eastAsia="en-NZ"/>
              </w:rPr>
            </w:r>
            <w:r w:rsidRPr="008A5E57">
              <w:rPr>
                <w:i/>
                <w:lang w:eastAsia="en-NZ"/>
              </w:rPr>
              <w:fldChar w:fldCharType="separate"/>
            </w:r>
            <w:r w:rsidRPr="008A5E57">
              <w:rPr>
                <w:i/>
                <w:lang w:eastAsia="en-NZ"/>
              </w:rPr>
              <w:t>Section 5</w:t>
            </w:r>
            <w:r w:rsidRPr="008A5E57">
              <w:rPr>
                <w:i/>
                <w:lang w:eastAsia="en-NZ"/>
              </w:rPr>
              <w:fldChar w:fldCharType="end"/>
            </w:r>
            <w:r w:rsidRPr="008A5E57">
              <w:rPr>
                <w:i/>
                <w:lang w:eastAsia="en-NZ"/>
              </w:rPr>
              <w:t xml:space="preserve"> </w:t>
            </w:r>
            <w:r w:rsidR="008A5E57" w:rsidRPr="008A5E57">
              <w:rPr>
                <w:i/>
                <w:lang w:eastAsia="en-NZ"/>
              </w:rPr>
              <w:t>Readiness</w:t>
            </w:r>
            <w:r w:rsidR="008A5E57">
              <w:rPr>
                <w:lang w:eastAsia="en-NZ"/>
              </w:rPr>
              <w:t xml:space="preserve"> of the </w:t>
            </w:r>
            <w:r w:rsidR="008A5E57" w:rsidRPr="008A5E57">
              <w:rPr>
                <w:i/>
                <w:lang w:eastAsia="en-NZ"/>
              </w:rPr>
              <w:t>Logistics in CDEM</w:t>
            </w:r>
            <w:r w:rsidR="008A5E57">
              <w:rPr>
                <w:lang w:eastAsia="en-NZ"/>
              </w:rPr>
              <w:t xml:space="preserve"> guideline</w:t>
            </w:r>
            <w:r w:rsidRPr="001748D1">
              <w:rPr>
                <w:lang w:eastAsia="en-NZ"/>
              </w:rPr>
              <w:t xml:space="preserve"> (see also </w:t>
            </w:r>
            <w:r w:rsidRPr="008A5E57">
              <w:rPr>
                <w:i/>
                <w:lang w:eastAsia="en-NZ"/>
              </w:rPr>
              <w:fldChar w:fldCharType="begin"/>
            </w:r>
            <w:r w:rsidRPr="008A5E57">
              <w:rPr>
                <w:i/>
                <w:lang w:eastAsia="en-NZ"/>
              </w:rPr>
              <w:instrText xml:space="preserve"> REF AppendixLogisticsreadinesschecklist \n \h  \* MERGEFORMAT </w:instrText>
            </w:r>
            <w:r w:rsidRPr="008A5E57">
              <w:rPr>
                <w:i/>
                <w:lang w:eastAsia="en-NZ"/>
              </w:rPr>
            </w:r>
            <w:r w:rsidRPr="008A5E57">
              <w:rPr>
                <w:i/>
                <w:lang w:eastAsia="en-NZ"/>
              </w:rPr>
              <w:fldChar w:fldCharType="separate"/>
            </w:r>
            <w:r w:rsidRPr="008A5E57">
              <w:rPr>
                <w:i/>
                <w:lang w:eastAsia="en-NZ"/>
              </w:rPr>
              <w:t>Appendix F</w:t>
            </w:r>
            <w:r w:rsidRPr="008A5E57">
              <w:rPr>
                <w:i/>
                <w:lang w:eastAsia="en-NZ"/>
              </w:rPr>
              <w:fldChar w:fldCharType="end"/>
            </w:r>
            <w:r w:rsidRPr="008A5E57">
              <w:rPr>
                <w:i/>
                <w:lang w:eastAsia="en-NZ"/>
              </w:rPr>
              <w:t xml:space="preserve"> </w:t>
            </w:r>
            <w:r w:rsidR="008A5E57" w:rsidRPr="008A5E57">
              <w:rPr>
                <w:i/>
                <w:lang w:eastAsia="en-NZ"/>
              </w:rPr>
              <w:t>Logistics readiness checklist</w:t>
            </w:r>
            <w:r w:rsidRPr="001748D1">
              <w:rPr>
                <w:lang w:eastAsia="en-NZ"/>
              </w:rPr>
              <w:t xml:space="preserve"> </w:t>
            </w:r>
            <w:r w:rsidR="008A5E57">
              <w:rPr>
                <w:lang w:eastAsia="en-NZ"/>
              </w:rPr>
              <w:t>for a full list</w:t>
            </w:r>
            <w:r w:rsidRPr="001748D1">
              <w:rPr>
                <w:lang w:eastAsia="en-NZ"/>
              </w:rPr>
              <w:t xml:space="preserve">. This needs to include the items listed in </w:t>
            </w:r>
            <w:r w:rsidR="008A5E57">
              <w:rPr>
                <w:lang w:eastAsia="en-NZ"/>
              </w:rPr>
              <w:fldChar w:fldCharType="begin"/>
            </w:r>
            <w:r w:rsidR="008A5E57">
              <w:rPr>
                <w:lang w:eastAsia="en-NZ"/>
              </w:rPr>
              <w:instrText xml:space="preserve"> REF _Ref418758707 \h </w:instrText>
            </w:r>
            <w:r w:rsidR="008A5E57">
              <w:rPr>
                <w:lang w:eastAsia="en-NZ"/>
              </w:rPr>
            </w:r>
            <w:r w:rsidR="008A5E57">
              <w:rPr>
                <w:lang w:eastAsia="en-NZ"/>
              </w:rPr>
              <w:fldChar w:fldCharType="separate"/>
            </w:r>
            <w:r w:rsidR="008A5E57">
              <w:t xml:space="preserve">Table </w:t>
            </w:r>
            <w:r w:rsidR="008A5E57">
              <w:rPr>
                <w:noProof/>
              </w:rPr>
              <w:t>2</w:t>
            </w:r>
            <w:r w:rsidR="008A5E57">
              <w:rPr>
                <w:lang w:eastAsia="en-NZ"/>
              </w:rPr>
              <w:fldChar w:fldCharType="end"/>
            </w:r>
            <w:r w:rsidR="008A5E57">
              <w:rPr>
                <w:lang w:eastAsia="en-NZ"/>
              </w:rPr>
              <w:t xml:space="preserve"> and </w:t>
            </w:r>
            <w:r w:rsidR="008A5E57">
              <w:rPr>
                <w:lang w:eastAsia="en-NZ"/>
              </w:rPr>
              <w:fldChar w:fldCharType="begin"/>
            </w:r>
            <w:r w:rsidR="008A5E57">
              <w:rPr>
                <w:lang w:eastAsia="en-NZ"/>
              </w:rPr>
              <w:instrText xml:space="preserve"> REF _Ref418758712 \h </w:instrText>
            </w:r>
            <w:r w:rsidR="008A5E57">
              <w:rPr>
                <w:lang w:eastAsia="en-NZ"/>
              </w:rPr>
            </w:r>
            <w:r w:rsidR="008A5E57">
              <w:rPr>
                <w:lang w:eastAsia="en-NZ"/>
              </w:rPr>
              <w:fldChar w:fldCharType="separate"/>
            </w:r>
            <w:r w:rsidR="008A5E57">
              <w:t xml:space="preserve">Table </w:t>
            </w:r>
            <w:r w:rsidR="008A5E57">
              <w:rPr>
                <w:noProof/>
              </w:rPr>
              <w:t>3</w:t>
            </w:r>
            <w:r w:rsidR="008A5E57">
              <w:rPr>
                <w:lang w:eastAsia="en-NZ"/>
              </w:rPr>
              <w:fldChar w:fldCharType="end"/>
            </w:r>
            <w:r w:rsidR="008A5E57">
              <w:rPr>
                <w:lang w:eastAsia="en-NZ"/>
              </w:rPr>
              <w:t xml:space="preserve"> on the next page.</w:t>
            </w:r>
          </w:p>
          <w:p w:rsidR="001748D1" w:rsidRPr="001748D1" w:rsidRDefault="001748D1" w:rsidP="008A5E57">
            <w:pPr>
              <w:rPr>
                <w:lang w:eastAsia="en-NZ"/>
              </w:rPr>
            </w:pPr>
            <w:r w:rsidRPr="001748D1">
              <w:rPr>
                <w:lang w:eastAsia="en-NZ"/>
              </w:rPr>
              <w:t>Guidance on response procedures is given in</w:t>
            </w:r>
            <w:r w:rsidR="008A5E57">
              <w:rPr>
                <w:lang w:eastAsia="en-NZ"/>
              </w:rPr>
              <w:t xml:space="preserve"> </w:t>
            </w:r>
            <w:r w:rsidR="008A5E57" w:rsidRPr="008A5E57">
              <w:rPr>
                <w:i/>
                <w:lang w:eastAsia="en-NZ"/>
              </w:rPr>
              <w:t>Appendix G Logistics response procedure</w:t>
            </w:r>
            <w:r w:rsidRPr="001748D1">
              <w:rPr>
                <w:lang w:eastAsia="en-NZ"/>
              </w:rPr>
              <w:t>.</w:t>
            </w:r>
          </w:p>
        </w:tc>
      </w:tr>
    </w:tbl>
    <w:p w:rsidR="001748D1" w:rsidRPr="001748D1" w:rsidRDefault="001748D1" w:rsidP="001748D1">
      <w:pPr>
        <w:spacing w:before="0" w:after="0" w:line="240" w:lineRule="auto"/>
        <w:rPr>
          <w:sz w:val="24"/>
        </w:rPr>
      </w:pPr>
    </w:p>
    <w:p w:rsidR="001748D1" w:rsidRDefault="001748D1" w:rsidP="001748D1">
      <w:pPr>
        <w:pStyle w:val="Caption"/>
        <w:keepNext/>
      </w:pPr>
      <w:bookmarkStart w:id="8" w:name="_Ref418758707"/>
      <w:r>
        <w:lastRenderedPageBreak/>
        <w:t xml:space="preserve">Table </w:t>
      </w:r>
      <w:fldSimple w:instr=" SEQ Table \* ARABIC ">
        <w:r>
          <w:rPr>
            <w:noProof/>
          </w:rPr>
          <w:t>2</w:t>
        </w:r>
      </w:fldSimple>
      <w:bookmarkEnd w:id="8"/>
      <w:r w:rsidRPr="001748D1">
        <w:t xml:space="preserve"> Procedures to include</w:t>
      </w:r>
    </w:p>
    <w:tbl>
      <w:tblPr>
        <w:tblStyle w:val="TableGrid"/>
        <w:tblW w:w="9639" w:type="dxa"/>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ayout w:type="fixed"/>
        <w:tblLook w:val="04A0" w:firstRow="1" w:lastRow="0" w:firstColumn="1" w:lastColumn="0" w:noHBand="0" w:noVBand="1"/>
      </w:tblPr>
      <w:tblGrid>
        <w:gridCol w:w="2127"/>
        <w:gridCol w:w="7512"/>
      </w:tblGrid>
      <w:tr w:rsidR="001748D1" w:rsidRPr="001748D1" w:rsidTr="00F6586D">
        <w:trPr>
          <w:cantSplit/>
          <w:tblHeader/>
        </w:trPr>
        <w:tc>
          <w:tcPr>
            <w:tcW w:w="2127" w:type="dxa"/>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1748D1" w:rsidRPr="001748D1" w:rsidRDefault="001748D1" w:rsidP="001748D1">
            <w:pPr>
              <w:spacing w:before="60" w:after="60" w:line="240" w:lineRule="auto"/>
              <w:rPr>
                <w:b/>
                <w:color w:val="FFFFFF"/>
                <w:lang w:eastAsia="en-NZ"/>
              </w:rPr>
            </w:pPr>
            <w:r w:rsidRPr="001748D1">
              <w:rPr>
                <w:b/>
                <w:color w:val="FFFFFF"/>
                <w:lang w:eastAsia="en-NZ"/>
              </w:rPr>
              <w:t>Topic</w:t>
            </w:r>
          </w:p>
        </w:tc>
        <w:tc>
          <w:tcPr>
            <w:tcW w:w="7512" w:type="dxa"/>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1748D1" w:rsidRPr="001748D1" w:rsidRDefault="001748D1" w:rsidP="001748D1">
            <w:pPr>
              <w:spacing w:before="60" w:after="60" w:line="240" w:lineRule="auto"/>
              <w:rPr>
                <w:b/>
                <w:color w:val="FFFFFF"/>
                <w:lang w:eastAsia="en-NZ"/>
              </w:rPr>
            </w:pPr>
            <w:r w:rsidRPr="001748D1">
              <w:rPr>
                <w:b/>
                <w:color w:val="FFFFFF"/>
                <w:lang w:eastAsia="en-NZ"/>
              </w:rPr>
              <w:t>Content to include</w:t>
            </w:r>
          </w:p>
        </w:tc>
      </w:tr>
      <w:tr w:rsidR="001748D1" w:rsidRPr="001748D1" w:rsidTr="00F6586D">
        <w:trPr>
          <w:cantSplit/>
        </w:trPr>
        <w:tc>
          <w:tcPr>
            <w:tcW w:w="2127" w:type="dxa"/>
            <w:tcBorders>
              <w:top w:val="single" w:sz="6" w:space="0" w:color="005A9B" w:themeColor="background2"/>
              <w:bottom w:val="single" w:sz="6" w:space="0" w:color="005A9B" w:themeColor="background2"/>
            </w:tcBorders>
          </w:tcPr>
          <w:p w:rsidR="001748D1" w:rsidRPr="001748D1" w:rsidRDefault="001748D1" w:rsidP="001748D1">
            <w:pPr>
              <w:spacing w:before="60" w:after="60" w:line="240" w:lineRule="auto"/>
              <w:rPr>
                <w:lang w:eastAsia="en-NZ"/>
              </w:rPr>
            </w:pPr>
            <w:r w:rsidRPr="001748D1">
              <w:rPr>
                <w:lang w:eastAsia="en-NZ"/>
              </w:rPr>
              <w:t>Role descriptions</w:t>
            </w:r>
          </w:p>
        </w:tc>
        <w:tc>
          <w:tcPr>
            <w:tcW w:w="7512" w:type="dxa"/>
            <w:tcBorders>
              <w:top w:val="single" w:sz="6" w:space="0" w:color="005A9B" w:themeColor="background2"/>
              <w:bottom w:val="single" w:sz="6" w:space="0" w:color="005A9B" w:themeColor="background2"/>
            </w:tcBorders>
          </w:tcPr>
          <w:p w:rsidR="001748D1" w:rsidRPr="001748D1" w:rsidRDefault="008A5E57" w:rsidP="008A5E57">
            <w:pPr>
              <w:pStyle w:val="Tablebullet"/>
              <w:rPr>
                <w:lang w:eastAsia="en-NZ"/>
              </w:rPr>
            </w:pPr>
            <w:r>
              <w:rPr>
                <w:lang w:eastAsia="en-NZ"/>
              </w:rPr>
              <w:t xml:space="preserve">Role descriptions </w:t>
            </w:r>
            <w:r w:rsidR="001748D1" w:rsidRPr="001748D1">
              <w:rPr>
                <w:lang w:eastAsia="en-NZ"/>
              </w:rPr>
              <w:t>of all positions in Logistics</w:t>
            </w:r>
            <w:r>
              <w:rPr>
                <w:lang w:eastAsia="en-NZ"/>
              </w:rPr>
              <w:t>.</w:t>
            </w:r>
          </w:p>
        </w:tc>
      </w:tr>
      <w:tr w:rsidR="001748D1" w:rsidRPr="001748D1" w:rsidTr="00F6586D">
        <w:trPr>
          <w:cantSplit/>
        </w:trPr>
        <w:tc>
          <w:tcPr>
            <w:tcW w:w="2127" w:type="dxa"/>
            <w:tcBorders>
              <w:top w:val="single" w:sz="6" w:space="0" w:color="005A9B" w:themeColor="background2"/>
              <w:bottom w:val="single" w:sz="6" w:space="0" w:color="005A9B" w:themeColor="background2"/>
            </w:tcBorders>
          </w:tcPr>
          <w:p w:rsidR="001748D1" w:rsidRPr="001748D1" w:rsidRDefault="001748D1" w:rsidP="001748D1">
            <w:pPr>
              <w:spacing w:before="60" w:after="60" w:line="240" w:lineRule="auto"/>
              <w:rPr>
                <w:lang w:eastAsia="en-NZ"/>
              </w:rPr>
            </w:pPr>
            <w:r w:rsidRPr="001748D1">
              <w:rPr>
                <w:lang w:eastAsia="en-NZ"/>
              </w:rPr>
              <w:t>Requests process</w:t>
            </w:r>
          </w:p>
        </w:tc>
        <w:tc>
          <w:tcPr>
            <w:tcW w:w="7512" w:type="dxa"/>
            <w:tcBorders>
              <w:top w:val="single" w:sz="6" w:space="0" w:color="005A9B" w:themeColor="background2"/>
              <w:bottom w:val="single" w:sz="6" w:space="0" w:color="005A9B" w:themeColor="background2"/>
            </w:tcBorders>
          </w:tcPr>
          <w:p w:rsidR="001748D1" w:rsidRPr="001748D1" w:rsidRDefault="001748D1" w:rsidP="008A5E57">
            <w:pPr>
              <w:pStyle w:val="Tablebullet"/>
              <w:rPr>
                <w:lang w:eastAsia="en-NZ"/>
              </w:rPr>
            </w:pPr>
            <w:r w:rsidRPr="001748D1">
              <w:rPr>
                <w:lang w:eastAsia="en-NZ"/>
              </w:rPr>
              <w:t>The procedure for sending Resource Requests</w:t>
            </w:r>
            <w:r w:rsidR="008A5E57">
              <w:rPr>
                <w:lang w:eastAsia="en-NZ"/>
              </w:rPr>
              <w:t>.</w:t>
            </w:r>
          </w:p>
          <w:p w:rsidR="001748D1" w:rsidRPr="001748D1" w:rsidRDefault="001748D1" w:rsidP="008A5E57">
            <w:pPr>
              <w:pStyle w:val="Tablebullet"/>
              <w:rPr>
                <w:lang w:eastAsia="en-NZ"/>
              </w:rPr>
            </w:pPr>
            <w:r w:rsidRPr="001748D1">
              <w:rPr>
                <w:lang w:eastAsia="en-NZ"/>
              </w:rPr>
              <w:t>The procedure for receiving Resource Requests</w:t>
            </w:r>
            <w:r w:rsidR="008A5E57">
              <w:rPr>
                <w:lang w:eastAsia="en-NZ"/>
              </w:rPr>
              <w:t>.</w:t>
            </w:r>
            <w:r w:rsidRPr="001748D1">
              <w:rPr>
                <w:lang w:eastAsia="en-NZ"/>
              </w:rPr>
              <w:t xml:space="preserve"> </w:t>
            </w:r>
          </w:p>
          <w:p w:rsidR="001748D1" w:rsidRPr="001748D1" w:rsidRDefault="001748D1" w:rsidP="008A5E57">
            <w:pPr>
              <w:pStyle w:val="Tablebullet"/>
              <w:rPr>
                <w:lang w:eastAsia="en-NZ"/>
              </w:rPr>
            </w:pPr>
            <w:r w:rsidRPr="001748D1">
              <w:rPr>
                <w:lang w:eastAsia="en-NZ"/>
              </w:rPr>
              <w:t xml:space="preserve">(see </w:t>
            </w:r>
            <w:r w:rsidR="008A5E57" w:rsidRPr="008A5E57">
              <w:rPr>
                <w:i/>
                <w:lang w:eastAsia="en-NZ"/>
              </w:rPr>
              <w:t>Appendix K Resource request procedures</w:t>
            </w:r>
            <w:r w:rsidRPr="001748D1">
              <w:rPr>
                <w:lang w:eastAsia="en-NZ"/>
              </w:rPr>
              <w:t>)</w:t>
            </w:r>
            <w:r w:rsidR="008A5E57">
              <w:rPr>
                <w:lang w:eastAsia="en-NZ"/>
              </w:rPr>
              <w:t>.</w:t>
            </w:r>
          </w:p>
        </w:tc>
      </w:tr>
      <w:tr w:rsidR="001748D1" w:rsidRPr="001748D1" w:rsidTr="00F6586D">
        <w:trPr>
          <w:cantSplit/>
        </w:trPr>
        <w:tc>
          <w:tcPr>
            <w:tcW w:w="2127" w:type="dxa"/>
            <w:tcBorders>
              <w:top w:val="single" w:sz="6" w:space="0" w:color="005A9B" w:themeColor="background2"/>
              <w:bottom w:val="single" w:sz="6" w:space="0" w:color="005A9B" w:themeColor="background2"/>
            </w:tcBorders>
          </w:tcPr>
          <w:p w:rsidR="001748D1" w:rsidRPr="001748D1" w:rsidRDefault="001748D1" w:rsidP="001748D1">
            <w:pPr>
              <w:spacing w:before="60" w:after="60" w:line="240" w:lineRule="auto"/>
              <w:rPr>
                <w:lang w:eastAsia="en-NZ"/>
              </w:rPr>
            </w:pPr>
            <w:r w:rsidRPr="001748D1">
              <w:rPr>
                <w:lang w:eastAsia="en-NZ"/>
              </w:rPr>
              <w:t>Resource processes</w:t>
            </w:r>
          </w:p>
        </w:tc>
        <w:tc>
          <w:tcPr>
            <w:tcW w:w="7512" w:type="dxa"/>
            <w:tcBorders>
              <w:top w:val="single" w:sz="6" w:space="0" w:color="005A9B" w:themeColor="background2"/>
              <w:bottom w:val="single" w:sz="6" w:space="0" w:color="005A9B" w:themeColor="background2"/>
            </w:tcBorders>
          </w:tcPr>
          <w:p w:rsidR="001748D1" w:rsidRPr="001748D1" w:rsidRDefault="001748D1" w:rsidP="008A5E57">
            <w:pPr>
              <w:pStyle w:val="Tablebullet"/>
              <w:rPr>
                <w:lang w:eastAsia="en-NZ"/>
              </w:rPr>
            </w:pPr>
            <w:r w:rsidRPr="001748D1">
              <w:rPr>
                <w:lang w:eastAsia="en-NZ"/>
              </w:rPr>
              <w:t>The procedure for assessing resource needs</w:t>
            </w:r>
            <w:r w:rsidR="008A5E57">
              <w:rPr>
                <w:lang w:eastAsia="en-NZ"/>
              </w:rPr>
              <w:t>.</w:t>
            </w:r>
          </w:p>
          <w:p w:rsidR="001748D1" w:rsidRPr="001748D1" w:rsidRDefault="001748D1" w:rsidP="008A5E57">
            <w:pPr>
              <w:pStyle w:val="Tablebullet"/>
              <w:rPr>
                <w:lang w:eastAsia="en-NZ"/>
              </w:rPr>
            </w:pPr>
            <w:r w:rsidRPr="001748D1">
              <w:rPr>
                <w:lang w:eastAsia="en-NZ"/>
              </w:rPr>
              <w:t>The procedures related to procuring resources (sources, restrictions, purchasing, and requisitioning). Include MOUs with suppliers</w:t>
            </w:r>
            <w:r w:rsidR="008A5E57">
              <w:rPr>
                <w:lang w:eastAsia="en-NZ"/>
              </w:rPr>
              <w:t>.</w:t>
            </w:r>
          </w:p>
          <w:p w:rsidR="001748D1" w:rsidRPr="001748D1" w:rsidRDefault="001748D1" w:rsidP="008A5E57">
            <w:pPr>
              <w:pStyle w:val="Tablebullet"/>
              <w:rPr>
                <w:lang w:eastAsia="en-NZ"/>
              </w:rPr>
            </w:pPr>
            <w:r w:rsidRPr="001748D1">
              <w:rPr>
                <w:lang w:eastAsia="en-NZ"/>
              </w:rPr>
              <w:t>Include Offers of Assistance and donations. How these are received, how the donor is acknowledged and how they are recorded.</w:t>
            </w:r>
          </w:p>
          <w:p w:rsidR="001748D1" w:rsidRPr="001748D1" w:rsidRDefault="001748D1" w:rsidP="008A5E57">
            <w:pPr>
              <w:pStyle w:val="Tablebullet"/>
              <w:rPr>
                <w:lang w:eastAsia="en-NZ"/>
              </w:rPr>
            </w:pPr>
            <w:r w:rsidRPr="001748D1">
              <w:rPr>
                <w:lang w:eastAsia="en-NZ"/>
              </w:rPr>
              <w:t>The procedures related to resource management (receiving, storing, issuing, return or disposal, and tracking)</w:t>
            </w:r>
            <w:r w:rsidR="008A5E57">
              <w:rPr>
                <w:lang w:eastAsia="en-NZ"/>
              </w:rPr>
              <w:t>.</w:t>
            </w:r>
          </w:p>
        </w:tc>
      </w:tr>
      <w:tr w:rsidR="001748D1" w:rsidRPr="001748D1" w:rsidTr="0068763B">
        <w:trPr>
          <w:cantSplit/>
        </w:trPr>
        <w:tc>
          <w:tcPr>
            <w:tcW w:w="2127" w:type="dxa"/>
            <w:tcBorders>
              <w:top w:val="single" w:sz="6" w:space="0" w:color="005A9B" w:themeColor="background2"/>
              <w:bottom w:val="nil"/>
            </w:tcBorders>
          </w:tcPr>
          <w:p w:rsidR="001748D1" w:rsidRPr="001748D1" w:rsidRDefault="001748D1" w:rsidP="001748D1">
            <w:pPr>
              <w:spacing w:before="60" w:after="60" w:line="240" w:lineRule="auto"/>
              <w:rPr>
                <w:lang w:eastAsia="en-NZ"/>
              </w:rPr>
            </w:pPr>
            <w:r w:rsidRPr="001748D1">
              <w:rPr>
                <w:lang w:eastAsia="en-NZ"/>
              </w:rPr>
              <w:t>Readiness checklist</w:t>
            </w:r>
          </w:p>
          <w:p w:rsidR="001748D1" w:rsidRPr="001748D1" w:rsidRDefault="001748D1" w:rsidP="001748D1">
            <w:pPr>
              <w:spacing w:before="60" w:after="60" w:line="240" w:lineRule="auto"/>
              <w:jc w:val="center"/>
              <w:rPr>
                <w:lang w:eastAsia="en-NZ"/>
              </w:rPr>
            </w:pPr>
            <w:r w:rsidRPr="001748D1">
              <w:rPr>
                <w:noProof/>
                <w:lang w:eastAsia="en-NZ"/>
              </w:rPr>
              <w:drawing>
                <wp:inline distT="0" distB="0" distL="0" distR="0" wp14:anchorId="06B39F59" wp14:editId="33F4BC66">
                  <wp:extent cx="557530" cy="55753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a:ext>
                            </a:extLst>
                          </a:blip>
                          <a:stretch>
                            <a:fillRect/>
                          </a:stretch>
                        </pic:blipFill>
                        <pic:spPr>
                          <a:xfrm>
                            <a:off x="0" y="0"/>
                            <a:ext cx="557530" cy="557530"/>
                          </a:xfrm>
                          <a:prstGeom prst="rect">
                            <a:avLst/>
                          </a:prstGeom>
                        </pic:spPr>
                      </pic:pic>
                    </a:graphicData>
                  </a:graphic>
                </wp:inline>
              </w:drawing>
            </w:r>
          </w:p>
        </w:tc>
        <w:tc>
          <w:tcPr>
            <w:tcW w:w="7512" w:type="dxa"/>
            <w:tcBorders>
              <w:top w:val="single" w:sz="6" w:space="0" w:color="005A9B" w:themeColor="background2"/>
              <w:bottom w:val="nil"/>
            </w:tcBorders>
          </w:tcPr>
          <w:p w:rsidR="001748D1" w:rsidRPr="001748D1" w:rsidRDefault="001748D1" w:rsidP="008A5E57">
            <w:pPr>
              <w:pStyle w:val="Tablebullet"/>
              <w:rPr>
                <w:lang w:eastAsia="en-NZ"/>
              </w:rPr>
            </w:pPr>
            <w:r w:rsidRPr="001748D1">
              <w:rPr>
                <w:lang w:eastAsia="en-NZ"/>
              </w:rPr>
              <w:t xml:space="preserve">The checklist to be followed during the readiness phase. See </w:t>
            </w:r>
            <w:r w:rsidR="008A5E57" w:rsidRPr="008A5E57">
              <w:rPr>
                <w:i/>
                <w:lang w:eastAsia="en-NZ"/>
              </w:rPr>
              <w:t>Appendix F Logistics readiness checklist</w:t>
            </w:r>
            <w:r w:rsidR="008A5E57" w:rsidRPr="008A5E57">
              <w:rPr>
                <w:lang w:eastAsia="en-NZ"/>
              </w:rPr>
              <w:t xml:space="preserve"> </w:t>
            </w:r>
            <w:r w:rsidRPr="001748D1">
              <w:rPr>
                <w:lang w:eastAsia="en-NZ"/>
              </w:rPr>
              <w:t>for an example</w:t>
            </w:r>
            <w:r w:rsidR="008A5E57">
              <w:rPr>
                <w:lang w:eastAsia="en-NZ"/>
              </w:rPr>
              <w:t>.</w:t>
            </w:r>
          </w:p>
        </w:tc>
      </w:tr>
      <w:tr w:rsidR="001748D1" w:rsidRPr="001748D1" w:rsidTr="0068763B">
        <w:trPr>
          <w:cantSplit/>
        </w:trPr>
        <w:tc>
          <w:tcPr>
            <w:tcW w:w="2127" w:type="dxa"/>
            <w:tcBorders>
              <w:top w:val="nil"/>
              <w:bottom w:val="single" w:sz="12" w:space="0" w:color="005A9B" w:themeColor="background2"/>
            </w:tcBorders>
          </w:tcPr>
          <w:p w:rsidR="001748D1" w:rsidRPr="001748D1" w:rsidRDefault="001748D1" w:rsidP="001748D1">
            <w:pPr>
              <w:spacing w:before="60" w:after="60" w:line="240" w:lineRule="auto"/>
              <w:rPr>
                <w:lang w:eastAsia="en-NZ"/>
              </w:rPr>
            </w:pPr>
            <w:r w:rsidRPr="001748D1">
              <w:rPr>
                <w:lang w:eastAsia="en-NZ"/>
              </w:rPr>
              <w:t>Response checklist</w:t>
            </w:r>
          </w:p>
          <w:p w:rsidR="001748D1" w:rsidRPr="001748D1" w:rsidRDefault="001748D1" w:rsidP="001748D1">
            <w:pPr>
              <w:spacing w:before="60" w:after="60" w:line="240" w:lineRule="auto"/>
              <w:jc w:val="center"/>
              <w:rPr>
                <w:lang w:eastAsia="en-NZ"/>
              </w:rPr>
            </w:pPr>
            <w:r w:rsidRPr="001748D1">
              <w:rPr>
                <w:noProof/>
                <w:lang w:eastAsia="en-NZ"/>
              </w:rPr>
              <w:drawing>
                <wp:inline distT="0" distB="0" distL="0" distR="0" wp14:anchorId="4ECACE7D" wp14:editId="556068C7">
                  <wp:extent cx="557530" cy="5575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a:ext>
                            </a:extLst>
                          </a:blip>
                          <a:stretch>
                            <a:fillRect/>
                          </a:stretch>
                        </pic:blipFill>
                        <pic:spPr>
                          <a:xfrm>
                            <a:off x="0" y="0"/>
                            <a:ext cx="557530" cy="557530"/>
                          </a:xfrm>
                          <a:prstGeom prst="rect">
                            <a:avLst/>
                          </a:prstGeom>
                        </pic:spPr>
                      </pic:pic>
                    </a:graphicData>
                  </a:graphic>
                </wp:inline>
              </w:drawing>
            </w:r>
          </w:p>
        </w:tc>
        <w:tc>
          <w:tcPr>
            <w:tcW w:w="7512" w:type="dxa"/>
            <w:tcBorders>
              <w:top w:val="nil"/>
              <w:bottom w:val="single" w:sz="12" w:space="0" w:color="005A9B" w:themeColor="background2"/>
            </w:tcBorders>
          </w:tcPr>
          <w:p w:rsidR="001748D1" w:rsidRPr="001748D1" w:rsidRDefault="001748D1" w:rsidP="008A5E57">
            <w:pPr>
              <w:pStyle w:val="Tablebullet"/>
              <w:rPr>
                <w:lang w:eastAsia="en-NZ"/>
              </w:rPr>
            </w:pPr>
            <w:r w:rsidRPr="001748D1">
              <w:rPr>
                <w:lang w:eastAsia="en-NZ"/>
              </w:rPr>
              <w:t xml:space="preserve">The checklist to be followed during a response. See </w:t>
            </w:r>
            <w:r w:rsidR="008A5E57" w:rsidRPr="008A5E57">
              <w:rPr>
                <w:i/>
                <w:lang w:eastAsia="en-NZ"/>
              </w:rPr>
              <w:t>Appendix H Logistics response checklist</w:t>
            </w:r>
            <w:r w:rsidR="008A5E57">
              <w:rPr>
                <w:lang w:eastAsia="en-NZ"/>
              </w:rPr>
              <w:t xml:space="preserve"> </w:t>
            </w:r>
            <w:r w:rsidRPr="001748D1">
              <w:rPr>
                <w:lang w:eastAsia="en-NZ"/>
              </w:rPr>
              <w:t>for an example</w:t>
            </w:r>
            <w:r w:rsidR="008A5E57">
              <w:rPr>
                <w:lang w:eastAsia="en-NZ"/>
              </w:rPr>
              <w:t>.</w:t>
            </w:r>
          </w:p>
        </w:tc>
      </w:tr>
    </w:tbl>
    <w:p w:rsidR="001748D1" w:rsidRPr="001748D1" w:rsidRDefault="001748D1" w:rsidP="001748D1"/>
    <w:p w:rsidR="001748D1" w:rsidRDefault="001748D1" w:rsidP="001748D1">
      <w:pPr>
        <w:pStyle w:val="Caption"/>
        <w:keepNext/>
      </w:pPr>
      <w:bookmarkStart w:id="9" w:name="_Ref418758712"/>
      <w:r>
        <w:t xml:space="preserve">Table </w:t>
      </w:r>
      <w:fldSimple w:instr=" SEQ Table \* ARABIC ">
        <w:r>
          <w:rPr>
            <w:noProof/>
          </w:rPr>
          <w:t>3</w:t>
        </w:r>
      </w:fldSimple>
      <w:bookmarkEnd w:id="9"/>
      <w:r w:rsidRPr="001748D1">
        <w:t xml:space="preserve"> Appendices to include</w:t>
      </w:r>
    </w:p>
    <w:tbl>
      <w:tblPr>
        <w:tblStyle w:val="TableGrid"/>
        <w:tblW w:w="9639" w:type="dxa"/>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ayout w:type="fixed"/>
        <w:tblLook w:val="04A0" w:firstRow="1" w:lastRow="0" w:firstColumn="1" w:lastColumn="0" w:noHBand="0" w:noVBand="1"/>
      </w:tblPr>
      <w:tblGrid>
        <w:gridCol w:w="1985"/>
        <w:gridCol w:w="7654"/>
      </w:tblGrid>
      <w:tr w:rsidR="001748D1" w:rsidRPr="001748D1" w:rsidTr="0068763B">
        <w:trPr>
          <w:cantSplit/>
          <w:tblHeader/>
        </w:trPr>
        <w:tc>
          <w:tcPr>
            <w:tcW w:w="1985" w:type="dxa"/>
            <w:tcBorders>
              <w:top w:val="single" w:sz="12" w:space="0" w:color="005A9B" w:themeColor="background2"/>
              <w:bottom w:val="nil"/>
              <w:right w:val="single" w:sz="6" w:space="0" w:color="FFFFFF" w:themeColor="background1"/>
            </w:tcBorders>
            <w:shd w:val="clear" w:color="auto" w:fill="005A9B" w:themeFill="background2"/>
          </w:tcPr>
          <w:p w:rsidR="001748D1" w:rsidRPr="001748D1" w:rsidRDefault="001748D1" w:rsidP="001748D1">
            <w:pPr>
              <w:spacing w:before="60" w:after="60" w:line="240" w:lineRule="auto"/>
              <w:rPr>
                <w:b/>
                <w:color w:val="FFFFFF"/>
                <w:lang w:eastAsia="en-NZ"/>
              </w:rPr>
            </w:pPr>
            <w:r w:rsidRPr="001748D1">
              <w:rPr>
                <w:b/>
                <w:color w:val="FFFFFF"/>
                <w:lang w:eastAsia="en-NZ"/>
              </w:rPr>
              <w:t>Appendices</w:t>
            </w:r>
          </w:p>
        </w:tc>
        <w:tc>
          <w:tcPr>
            <w:tcW w:w="7654" w:type="dxa"/>
            <w:tcBorders>
              <w:top w:val="single" w:sz="12" w:space="0" w:color="005A9B" w:themeColor="background2"/>
              <w:left w:val="single" w:sz="6" w:space="0" w:color="FFFFFF" w:themeColor="background1"/>
              <w:bottom w:val="nil"/>
            </w:tcBorders>
            <w:shd w:val="clear" w:color="auto" w:fill="005A9B" w:themeFill="background2"/>
          </w:tcPr>
          <w:p w:rsidR="001748D1" w:rsidRPr="001748D1" w:rsidRDefault="001748D1" w:rsidP="001748D1">
            <w:pPr>
              <w:spacing w:before="60" w:after="60" w:line="240" w:lineRule="auto"/>
              <w:rPr>
                <w:b/>
                <w:color w:val="FFFFFF"/>
                <w:lang w:eastAsia="en-NZ"/>
              </w:rPr>
            </w:pPr>
            <w:r w:rsidRPr="001748D1">
              <w:rPr>
                <w:b/>
                <w:color w:val="FFFFFF"/>
                <w:lang w:eastAsia="en-NZ"/>
              </w:rPr>
              <w:t>Content to include</w:t>
            </w:r>
          </w:p>
        </w:tc>
      </w:tr>
      <w:tr w:rsidR="001748D1" w:rsidRPr="001748D1" w:rsidTr="0068763B">
        <w:trPr>
          <w:cantSplit/>
        </w:trPr>
        <w:tc>
          <w:tcPr>
            <w:tcW w:w="1985" w:type="dxa"/>
            <w:tcBorders>
              <w:top w:val="nil"/>
              <w:bottom w:val="single" w:sz="6" w:space="0" w:color="005A9B" w:themeColor="background2"/>
            </w:tcBorders>
          </w:tcPr>
          <w:p w:rsidR="001748D1" w:rsidRPr="001748D1" w:rsidRDefault="001748D1" w:rsidP="001748D1">
            <w:pPr>
              <w:spacing w:before="60" w:after="60" w:line="240" w:lineRule="auto"/>
              <w:rPr>
                <w:lang w:eastAsia="en-NZ"/>
              </w:rPr>
            </w:pPr>
            <w:r w:rsidRPr="001748D1">
              <w:rPr>
                <w:lang w:eastAsia="en-NZ"/>
              </w:rPr>
              <w:t>Financial processes</w:t>
            </w:r>
          </w:p>
        </w:tc>
        <w:tc>
          <w:tcPr>
            <w:tcW w:w="7654" w:type="dxa"/>
            <w:tcBorders>
              <w:top w:val="nil"/>
              <w:bottom w:val="single" w:sz="6" w:space="0" w:color="005A9B" w:themeColor="background2"/>
            </w:tcBorders>
          </w:tcPr>
          <w:p w:rsidR="001748D1" w:rsidRPr="001748D1" w:rsidRDefault="001748D1" w:rsidP="008A5E57">
            <w:pPr>
              <w:pStyle w:val="Tablebullet"/>
              <w:rPr>
                <w:lang w:eastAsia="en-NZ"/>
              </w:rPr>
            </w:pPr>
            <w:r w:rsidRPr="001748D1">
              <w:rPr>
                <w:lang w:eastAsia="en-NZ"/>
              </w:rPr>
              <w:t>The procedures for managing finances during response and recovery</w:t>
            </w:r>
            <w:r w:rsidR="008A5E57">
              <w:rPr>
                <w:lang w:eastAsia="en-NZ"/>
              </w:rPr>
              <w:t>.</w:t>
            </w:r>
          </w:p>
          <w:p w:rsidR="001748D1" w:rsidRPr="001748D1" w:rsidRDefault="001748D1" w:rsidP="008A5E57">
            <w:pPr>
              <w:pStyle w:val="Tablebullet"/>
              <w:rPr>
                <w:lang w:eastAsia="en-NZ"/>
              </w:rPr>
            </w:pPr>
            <w:r w:rsidRPr="001748D1">
              <w:rPr>
                <w:lang w:eastAsia="en-NZ"/>
              </w:rPr>
              <w:t>The procedures for applying for government assistance at the beginning and end of events.</w:t>
            </w:r>
          </w:p>
          <w:p w:rsidR="001748D1" w:rsidRPr="001748D1" w:rsidRDefault="001748D1" w:rsidP="008A5E57">
            <w:pPr>
              <w:pStyle w:val="Tablebullet"/>
              <w:rPr>
                <w:lang w:eastAsia="en-NZ"/>
              </w:rPr>
            </w:pPr>
            <w:r w:rsidRPr="001748D1">
              <w:rPr>
                <w:lang w:eastAsia="en-NZ"/>
              </w:rPr>
              <w:t xml:space="preserve">List any pre-approved financial delegations and authorisations, cost codes. </w:t>
            </w:r>
          </w:p>
        </w:tc>
      </w:tr>
      <w:tr w:rsidR="001748D1" w:rsidRPr="001748D1" w:rsidTr="00F6586D">
        <w:trPr>
          <w:cantSplit/>
        </w:trPr>
        <w:tc>
          <w:tcPr>
            <w:tcW w:w="1985" w:type="dxa"/>
            <w:tcBorders>
              <w:top w:val="single" w:sz="6" w:space="0" w:color="005A9B" w:themeColor="background2"/>
              <w:bottom w:val="single" w:sz="6" w:space="0" w:color="005A9B" w:themeColor="background2"/>
            </w:tcBorders>
          </w:tcPr>
          <w:p w:rsidR="001748D1" w:rsidRPr="001748D1" w:rsidRDefault="001748D1" w:rsidP="001748D1">
            <w:pPr>
              <w:spacing w:before="60" w:after="60" w:line="240" w:lineRule="auto"/>
              <w:rPr>
                <w:lang w:eastAsia="en-NZ"/>
              </w:rPr>
            </w:pPr>
            <w:r w:rsidRPr="001748D1">
              <w:rPr>
                <w:lang w:eastAsia="en-NZ"/>
              </w:rPr>
              <w:t>Personnel and appointments</w:t>
            </w:r>
          </w:p>
        </w:tc>
        <w:tc>
          <w:tcPr>
            <w:tcW w:w="7654" w:type="dxa"/>
            <w:tcBorders>
              <w:top w:val="single" w:sz="6" w:space="0" w:color="005A9B" w:themeColor="background2"/>
              <w:bottom w:val="single" w:sz="6" w:space="0" w:color="005A9B" w:themeColor="background2"/>
            </w:tcBorders>
          </w:tcPr>
          <w:p w:rsidR="001748D1" w:rsidRPr="001748D1" w:rsidRDefault="001748D1" w:rsidP="008A5E57">
            <w:pPr>
              <w:pStyle w:val="Tablebullet"/>
              <w:rPr>
                <w:lang w:eastAsia="en-NZ"/>
              </w:rPr>
            </w:pPr>
            <w:r w:rsidRPr="001748D1">
              <w:rPr>
                <w:lang w:eastAsia="en-NZ"/>
              </w:rPr>
              <w:t>List all appointments, with potential staff members and their contact numbers against each appointment. This will need to be updated at least annually.</w:t>
            </w:r>
          </w:p>
        </w:tc>
      </w:tr>
      <w:tr w:rsidR="001748D1" w:rsidRPr="001748D1" w:rsidTr="00F6586D">
        <w:trPr>
          <w:cantSplit/>
        </w:trPr>
        <w:tc>
          <w:tcPr>
            <w:tcW w:w="1985" w:type="dxa"/>
            <w:tcBorders>
              <w:top w:val="single" w:sz="6" w:space="0" w:color="005A9B" w:themeColor="background2"/>
              <w:bottom w:val="single" w:sz="6" w:space="0" w:color="005A9B" w:themeColor="background2"/>
            </w:tcBorders>
          </w:tcPr>
          <w:p w:rsidR="001748D1" w:rsidRPr="001748D1" w:rsidRDefault="001748D1" w:rsidP="001748D1">
            <w:pPr>
              <w:spacing w:before="60" w:after="60" w:line="240" w:lineRule="auto"/>
              <w:rPr>
                <w:lang w:eastAsia="en-NZ"/>
              </w:rPr>
            </w:pPr>
            <w:r w:rsidRPr="001748D1">
              <w:rPr>
                <w:lang w:eastAsia="en-NZ"/>
              </w:rPr>
              <w:t>Vendor list</w:t>
            </w:r>
          </w:p>
        </w:tc>
        <w:tc>
          <w:tcPr>
            <w:tcW w:w="7654" w:type="dxa"/>
            <w:tcBorders>
              <w:top w:val="single" w:sz="6" w:space="0" w:color="005A9B" w:themeColor="background2"/>
              <w:bottom w:val="single" w:sz="6" w:space="0" w:color="005A9B" w:themeColor="background2"/>
            </w:tcBorders>
          </w:tcPr>
          <w:p w:rsidR="001748D1" w:rsidRPr="001748D1" w:rsidRDefault="001748D1" w:rsidP="008A5E57">
            <w:pPr>
              <w:pStyle w:val="Tablebullet"/>
              <w:rPr>
                <w:lang w:eastAsia="en-NZ"/>
              </w:rPr>
            </w:pPr>
            <w:r w:rsidRPr="001748D1">
              <w:rPr>
                <w:lang w:eastAsia="en-NZ"/>
              </w:rPr>
              <w:t>List any vendors or suppliers. Some may have contracts or MOUs in place, some may be other government agencies who have agreed to provide resources.</w:t>
            </w:r>
          </w:p>
          <w:p w:rsidR="001748D1" w:rsidRPr="001748D1" w:rsidRDefault="001748D1" w:rsidP="008A5E57">
            <w:pPr>
              <w:pStyle w:val="Tablebullet"/>
              <w:rPr>
                <w:lang w:eastAsia="en-NZ"/>
              </w:rPr>
            </w:pPr>
            <w:r w:rsidRPr="001748D1">
              <w:rPr>
                <w:lang w:eastAsia="en-NZ"/>
              </w:rPr>
              <w:t>List any likely commercial providers, where these have not had contracts or MOUs created.</w:t>
            </w:r>
          </w:p>
        </w:tc>
      </w:tr>
      <w:tr w:rsidR="001748D1" w:rsidRPr="001748D1" w:rsidTr="0068763B">
        <w:trPr>
          <w:cantSplit/>
        </w:trPr>
        <w:tc>
          <w:tcPr>
            <w:tcW w:w="1985" w:type="dxa"/>
            <w:tcBorders>
              <w:top w:val="single" w:sz="6" w:space="0" w:color="005A9B" w:themeColor="background2"/>
              <w:bottom w:val="single" w:sz="12" w:space="0" w:color="005A9B" w:themeColor="background2"/>
            </w:tcBorders>
          </w:tcPr>
          <w:p w:rsidR="001748D1" w:rsidRPr="001748D1" w:rsidRDefault="001748D1" w:rsidP="001748D1">
            <w:pPr>
              <w:spacing w:before="60" w:after="60" w:line="240" w:lineRule="auto"/>
              <w:rPr>
                <w:lang w:eastAsia="en-NZ"/>
              </w:rPr>
            </w:pPr>
            <w:r w:rsidRPr="001748D1">
              <w:rPr>
                <w:lang w:eastAsia="en-NZ"/>
              </w:rPr>
              <w:t>Assembly Area</w:t>
            </w:r>
          </w:p>
        </w:tc>
        <w:tc>
          <w:tcPr>
            <w:tcW w:w="7654" w:type="dxa"/>
            <w:tcBorders>
              <w:top w:val="single" w:sz="6" w:space="0" w:color="005A9B" w:themeColor="background2"/>
              <w:bottom w:val="single" w:sz="12" w:space="0" w:color="005A9B" w:themeColor="background2"/>
            </w:tcBorders>
          </w:tcPr>
          <w:p w:rsidR="001748D1" w:rsidRPr="001748D1" w:rsidRDefault="001748D1" w:rsidP="008A5E57">
            <w:pPr>
              <w:pStyle w:val="Tablebullet"/>
              <w:rPr>
                <w:lang w:eastAsia="en-NZ"/>
              </w:rPr>
            </w:pPr>
            <w:r w:rsidRPr="001748D1">
              <w:rPr>
                <w:lang w:eastAsia="en-NZ"/>
              </w:rPr>
              <w:t>Describe the structure, the responsibilities for key appointments</w:t>
            </w:r>
            <w:r w:rsidR="007E3F4E">
              <w:rPr>
                <w:lang w:eastAsia="en-NZ"/>
              </w:rPr>
              <w:t>,</w:t>
            </w:r>
            <w:bookmarkStart w:id="10" w:name="_GoBack"/>
            <w:bookmarkEnd w:id="10"/>
            <w:r w:rsidRPr="001748D1">
              <w:rPr>
                <w:lang w:eastAsia="en-NZ"/>
              </w:rPr>
              <w:t xml:space="preserve"> and the teams</w:t>
            </w:r>
            <w:r w:rsidR="008A5E57">
              <w:rPr>
                <w:lang w:eastAsia="en-NZ"/>
              </w:rPr>
              <w:t>.</w:t>
            </w:r>
          </w:p>
          <w:p w:rsidR="001748D1" w:rsidRPr="001748D1" w:rsidRDefault="001748D1" w:rsidP="008A5E57">
            <w:pPr>
              <w:pStyle w:val="Tablebullet"/>
              <w:rPr>
                <w:lang w:eastAsia="en-NZ"/>
              </w:rPr>
            </w:pPr>
            <w:r w:rsidRPr="001748D1">
              <w:rPr>
                <w:lang w:eastAsia="en-NZ"/>
              </w:rPr>
              <w:t>List the triggers for activation</w:t>
            </w:r>
            <w:r w:rsidR="008A5E57">
              <w:rPr>
                <w:lang w:eastAsia="en-NZ"/>
              </w:rPr>
              <w:t>.</w:t>
            </w:r>
          </w:p>
          <w:p w:rsidR="001748D1" w:rsidRPr="001748D1" w:rsidRDefault="001748D1" w:rsidP="008A5E57">
            <w:pPr>
              <w:pStyle w:val="Tablebullet"/>
              <w:rPr>
                <w:lang w:eastAsia="en-NZ"/>
              </w:rPr>
            </w:pPr>
            <w:r w:rsidRPr="001748D1">
              <w:rPr>
                <w:lang w:eastAsia="en-NZ"/>
              </w:rPr>
              <w:t>List the likely location(s)</w:t>
            </w:r>
            <w:r w:rsidR="008A5E57">
              <w:rPr>
                <w:lang w:eastAsia="en-NZ"/>
              </w:rPr>
              <w:t>.</w:t>
            </w:r>
          </w:p>
          <w:p w:rsidR="001748D1" w:rsidRPr="001748D1" w:rsidRDefault="001748D1" w:rsidP="008A5E57">
            <w:pPr>
              <w:pStyle w:val="Tablebullet"/>
              <w:rPr>
                <w:lang w:eastAsia="en-NZ"/>
              </w:rPr>
            </w:pPr>
            <w:r w:rsidRPr="001748D1">
              <w:rPr>
                <w:lang w:eastAsia="en-NZ"/>
              </w:rPr>
              <w:t>List the resources needed to establish it.</w:t>
            </w:r>
          </w:p>
        </w:tc>
      </w:tr>
    </w:tbl>
    <w:p w:rsidR="001748D1" w:rsidRPr="001748D1" w:rsidRDefault="001748D1" w:rsidP="001748D1"/>
    <w:p w:rsidR="00003E8D" w:rsidRPr="00003E8D" w:rsidRDefault="00003E8D" w:rsidP="00CF6327">
      <w:pPr>
        <w:rPr>
          <w:b/>
        </w:rPr>
      </w:pPr>
    </w:p>
    <w:sectPr w:rsidR="00003E8D" w:rsidRPr="00003E8D" w:rsidSect="0002140A">
      <w:footerReference w:type="default" r:id="rId10"/>
      <w:pgSz w:w="11906" w:h="16838"/>
      <w:pgMar w:top="851" w:right="1191" w:bottom="794" w:left="119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98" w:rsidRDefault="00396698" w:rsidP="0028688E">
      <w:pPr>
        <w:spacing w:before="0" w:after="0" w:line="240" w:lineRule="auto"/>
      </w:pPr>
      <w:r>
        <w:separator/>
      </w:r>
    </w:p>
  </w:endnote>
  <w:endnote w:type="continuationSeparator" w:id="0">
    <w:p w:rsidR="00396698" w:rsidRDefault="00396698" w:rsidP="002868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8E" w:rsidRDefault="003A7734" w:rsidP="00855A5B">
    <w:pPr>
      <w:pStyle w:val="MCDEMfooter"/>
      <w:tabs>
        <w:tab w:val="left" w:pos="4157"/>
      </w:tabs>
    </w:pPr>
    <w:fldSimple w:instr=" FILENAME   \* MERGEFORMAT ">
      <w:r w:rsidR="0002140A">
        <w:rPr>
          <w:noProof/>
        </w:rPr>
        <w:t>Developing a Logistics Plan</w:t>
      </w:r>
    </w:fldSimple>
    <w:r w:rsidR="0028688E">
      <w:tab/>
    </w:r>
    <w:r w:rsidR="00855A5B">
      <w:tab/>
    </w:r>
    <w:r w:rsidR="0028688E">
      <w:t xml:space="preserve">Page </w:t>
    </w:r>
    <w:r w:rsidR="0028688E">
      <w:fldChar w:fldCharType="begin"/>
    </w:r>
    <w:r w:rsidR="0028688E">
      <w:instrText xml:space="preserve"> PAGE   \* MERGEFORMAT </w:instrText>
    </w:r>
    <w:r w:rsidR="0028688E">
      <w:fldChar w:fldCharType="separate"/>
    </w:r>
    <w:r w:rsidR="007E3F4E">
      <w:rPr>
        <w:noProof/>
      </w:rPr>
      <w:t>3</w:t>
    </w:r>
    <w:r w:rsidR="0028688E">
      <w:rPr>
        <w:noProof/>
      </w:rPr>
      <w:fldChar w:fldCharType="end"/>
    </w:r>
    <w:r w:rsidR="0028688E">
      <w:t xml:space="preserve"> of </w:t>
    </w:r>
    <w:r w:rsidR="007E3F4E">
      <w:fldChar w:fldCharType="begin"/>
    </w:r>
    <w:r w:rsidR="007E3F4E">
      <w:instrText xml:space="preserve"> NUMPAGES   \* MERGEFORMAT </w:instrText>
    </w:r>
    <w:r w:rsidR="007E3F4E">
      <w:fldChar w:fldCharType="separate"/>
    </w:r>
    <w:r w:rsidR="007E3F4E">
      <w:rPr>
        <w:noProof/>
      </w:rPr>
      <w:t>3</w:t>
    </w:r>
    <w:r w:rsidR="007E3F4E">
      <w:rPr>
        <w:noProof/>
      </w:rPr>
      <w:fldChar w:fldCharType="end"/>
    </w:r>
  </w:p>
  <w:p w:rsidR="0028688E" w:rsidRDefault="0028688E" w:rsidP="00003E8D">
    <w:pPr>
      <w:pStyle w:val="MCDEMfooter"/>
      <w:tabs>
        <w:tab w:val="left" w:pos="1544"/>
      </w:tabs>
    </w:pPr>
    <w:r>
      <w:tab/>
    </w:r>
    <w:r w:rsidR="00003E8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98" w:rsidRDefault="00396698" w:rsidP="0028688E">
      <w:pPr>
        <w:spacing w:before="0" w:after="0" w:line="240" w:lineRule="auto"/>
      </w:pPr>
      <w:r>
        <w:separator/>
      </w:r>
    </w:p>
  </w:footnote>
  <w:footnote w:type="continuationSeparator" w:id="0">
    <w:p w:rsidR="00396698" w:rsidRDefault="00396698" w:rsidP="0028688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4F9"/>
    <w:multiLevelType w:val="multilevel"/>
    <w:tmpl w:val="42E6011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7."/>
      <w:lvlJc w:val="left"/>
      <w:pPr>
        <w:ind w:left="0" w:firstLine="0"/>
      </w:pPr>
      <w:rPr>
        <w:rFonts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E5B5C7C"/>
    <w:multiLevelType w:val="hybridMultilevel"/>
    <w:tmpl w:val="F96AF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5">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6">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nsid w:val="2E7B63C8"/>
    <w:multiLevelType w:val="multilevel"/>
    <w:tmpl w:val="A79ED950"/>
    <w:numStyleLink w:val="MCDEMbullet"/>
  </w:abstractNum>
  <w:abstractNum w:abstractNumId="8">
    <w:nsid w:val="35AF363C"/>
    <w:multiLevelType w:val="hybridMultilevel"/>
    <w:tmpl w:val="9342C6CE"/>
    <w:lvl w:ilvl="0" w:tplc="ADB46DF2">
      <w:start w:val="1"/>
      <w:numFmt w:val="decimal"/>
      <w:pStyle w:val="Heading7"/>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500A4C8D"/>
    <w:multiLevelType w:val="hybridMultilevel"/>
    <w:tmpl w:val="0EEE3D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7D661627"/>
    <w:multiLevelType w:val="multilevel"/>
    <w:tmpl w:val="A79ED950"/>
    <w:numStyleLink w:val="MCDEMbullet"/>
  </w:abstractNum>
  <w:num w:numId="1">
    <w:abstractNumId w:val="6"/>
  </w:num>
  <w:num w:numId="2">
    <w:abstractNumId w:val="12"/>
  </w:num>
  <w:num w:numId="3">
    <w:abstractNumId w:val="13"/>
  </w:num>
  <w:num w:numId="4">
    <w:abstractNumId w:val="6"/>
  </w:num>
  <w:num w:numId="5">
    <w:abstractNumId w:val="4"/>
  </w:num>
  <w:num w:numId="6">
    <w:abstractNumId w:val="1"/>
  </w:num>
  <w:num w:numId="7">
    <w:abstractNumId w:val="9"/>
  </w:num>
  <w:num w:numId="8">
    <w:abstractNumId w:val="5"/>
  </w:num>
  <w:num w:numId="9">
    <w:abstractNumId w:val="12"/>
  </w:num>
  <w:num w:numId="10">
    <w:abstractNumId w:val="12"/>
  </w:num>
  <w:num w:numId="11">
    <w:abstractNumId w:val="12"/>
  </w:num>
  <w:num w:numId="12">
    <w:abstractNumId w:val="12"/>
  </w:num>
  <w:num w:numId="13">
    <w:abstractNumId w:val="12"/>
  </w:num>
  <w:num w:numId="14">
    <w:abstractNumId w:val="6"/>
  </w:num>
  <w:num w:numId="15">
    <w:abstractNumId w:val="6"/>
  </w:num>
  <w:num w:numId="16">
    <w:abstractNumId w:val="4"/>
  </w:num>
  <w:num w:numId="17">
    <w:abstractNumId w:val="1"/>
  </w:num>
  <w:num w:numId="18">
    <w:abstractNumId w:val="9"/>
  </w:num>
  <w:num w:numId="19">
    <w:abstractNumId w:val="5"/>
  </w:num>
  <w:num w:numId="20">
    <w:abstractNumId w:val="7"/>
  </w:num>
  <w:num w:numId="21">
    <w:abstractNumId w:val="0"/>
  </w:num>
  <w:num w:numId="22">
    <w:abstractNumId w:val="10"/>
  </w:num>
  <w:num w:numId="23">
    <w:abstractNumId w:val="3"/>
  </w:num>
  <w:num w:numId="24">
    <w:abstractNumId w:val="11"/>
  </w:num>
  <w:num w:numId="25">
    <w:abstractNumId w:val="2"/>
  </w:num>
  <w:num w:numId="2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98"/>
    <w:rsid w:val="00003E8D"/>
    <w:rsid w:val="0002140A"/>
    <w:rsid w:val="00033DD1"/>
    <w:rsid w:val="000765B8"/>
    <w:rsid w:val="001026B1"/>
    <w:rsid w:val="00120715"/>
    <w:rsid w:val="001431C8"/>
    <w:rsid w:val="001742A7"/>
    <w:rsid w:val="001748D1"/>
    <w:rsid w:val="00175619"/>
    <w:rsid w:val="001C7911"/>
    <w:rsid w:val="001F18E5"/>
    <w:rsid w:val="00240A3D"/>
    <w:rsid w:val="002730A0"/>
    <w:rsid w:val="0028688E"/>
    <w:rsid w:val="002A2906"/>
    <w:rsid w:val="002A45AE"/>
    <w:rsid w:val="002F336E"/>
    <w:rsid w:val="00343AA6"/>
    <w:rsid w:val="00381326"/>
    <w:rsid w:val="00396698"/>
    <w:rsid w:val="003A7734"/>
    <w:rsid w:val="004C4DA5"/>
    <w:rsid w:val="005B6A6C"/>
    <w:rsid w:val="006101A7"/>
    <w:rsid w:val="0068763B"/>
    <w:rsid w:val="00694EA2"/>
    <w:rsid w:val="006958B1"/>
    <w:rsid w:val="006D6B32"/>
    <w:rsid w:val="00707CF7"/>
    <w:rsid w:val="00771F8C"/>
    <w:rsid w:val="007E3F4E"/>
    <w:rsid w:val="008456EB"/>
    <w:rsid w:val="00855A5B"/>
    <w:rsid w:val="008622E5"/>
    <w:rsid w:val="0089602C"/>
    <w:rsid w:val="008A5E57"/>
    <w:rsid w:val="00900388"/>
    <w:rsid w:val="009020A7"/>
    <w:rsid w:val="00930533"/>
    <w:rsid w:val="00973D03"/>
    <w:rsid w:val="00976D92"/>
    <w:rsid w:val="009A3EB6"/>
    <w:rsid w:val="009F656B"/>
    <w:rsid w:val="00A0032D"/>
    <w:rsid w:val="00A11FE0"/>
    <w:rsid w:val="00BE7259"/>
    <w:rsid w:val="00C00F9B"/>
    <w:rsid w:val="00CD705C"/>
    <w:rsid w:val="00CE751C"/>
    <w:rsid w:val="00CF6327"/>
    <w:rsid w:val="00D170EE"/>
    <w:rsid w:val="00D20B00"/>
    <w:rsid w:val="00E04917"/>
    <w:rsid w:val="00ED03B0"/>
    <w:rsid w:val="00EE3242"/>
    <w:rsid w:val="00F7158B"/>
    <w:rsid w:val="00FB661F"/>
    <w:rsid w:val="00FC1189"/>
    <w:rsid w:val="00FF09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973D03"/>
    <w:pPr>
      <w:numPr>
        <w:numId w:val="20"/>
      </w:numPr>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694EA2"/>
    <w:pPr>
      <w:numPr>
        <w:numId w:val="16"/>
      </w:numPr>
      <w:spacing w:line="288" w:lineRule="auto"/>
      <w:contextualSpacing/>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973D03"/>
    <w:pPr>
      <w:numPr>
        <w:numId w:val="20"/>
      </w:numPr>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694EA2"/>
    <w:pPr>
      <w:numPr>
        <w:numId w:val="16"/>
      </w:numPr>
      <w:spacing w:line="288" w:lineRule="auto"/>
      <w:contextualSpacing/>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MCDEM\MCDEM%20templates\MCDEM%20normal%20template%20v1-6%202014-02-26%20MLG.dotm" TargetMode="Externa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0B69-592C-427B-8122-55D1D3DE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MCDEM normal template v1-6 2014-02-26 MLG</Template>
  <TotalTime>48</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Jolly</dc:creator>
  <cp:lastModifiedBy>Hannah Jolly</cp:lastModifiedBy>
  <cp:revision>10</cp:revision>
  <dcterms:created xsi:type="dcterms:W3CDTF">2015-05-06T02:46:00Z</dcterms:created>
  <dcterms:modified xsi:type="dcterms:W3CDTF">2015-06-02T02:26:00Z</dcterms:modified>
</cp:coreProperties>
</file>