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6F" w:rsidRPr="00694B6F" w:rsidRDefault="00694B6F" w:rsidP="00694B6F">
      <w:pPr>
        <w:pageBreakBefore/>
        <w:numPr>
          <w:ilvl w:val="5"/>
          <w:numId w:val="0"/>
        </w:numPr>
        <w:pBdr>
          <w:bottom w:val="single" w:sz="8" w:space="1" w:color="AFAFAF"/>
        </w:pBdr>
        <w:spacing w:before="360" w:after="40" w:line="240" w:lineRule="auto"/>
        <w:outlineLvl w:val="5"/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</w:pPr>
      <w:bookmarkStart w:id="0" w:name="_Ref358725305"/>
      <w:bookmarkStart w:id="1" w:name="_Toc358913234"/>
      <w:bookmarkStart w:id="2" w:name="_Toc358962900"/>
      <w:bookmarkStart w:id="3" w:name="_Toc359403886"/>
      <w:bookmarkStart w:id="4" w:name="_Toc369450587"/>
      <w:bookmarkStart w:id="5" w:name="_Toc369508638"/>
      <w:bookmarkStart w:id="6" w:name="_Toc369509912"/>
      <w:bookmarkStart w:id="7" w:name="_Toc370376494"/>
      <w:bookmarkStart w:id="8" w:name="AppendixLUreadinesschecklist"/>
      <w:bookmarkStart w:id="9" w:name="_Toc374081729"/>
      <w:bookmarkStart w:id="10" w:name="_Toc374082131"/>
      <w:bookmarkStart w:id="11" w:name="_Toc390780351"/>
      <w:bookmarkStart w:id="12" w:name="_Toc390784453"/>
      <w:r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>APPENDIX E</w:t>
      </w:r>
      <w:r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ab/>
      </w:r>
      <w:r w:rsidRPr="00694B6F"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>Lifeline utility CDEM readiness checklist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94B6F"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 xml:space="preserve"> </w:t>
      </w:r>
    </w:p>
    <w:p w:rsidR="00694B6F" w:rsidRPr="00694B6F" w:rsidRDefault="00694B6F" w:rsidP="00694B6F">
      <w:pPr>
        <w:tabs>
          <w:tab w:val="left" w:pos="2866"/>
        </w:tabs>
        <w:spacing w:before="40" w:after="40" w:line="271" w:lineRule="auto"/>
        <w:rPr>
          <w:rFonts w:eastAsia="Calibri" w:cs="Times New Roman"/>
          <w:sz w:val="19"/>
        </w:rPr>
      </w:pPr>
      <w:r w:rsidRPr="00694B6F">
        <w:rPr>
          <w:rFonts w:eastAsia="Calibri" w:cs="Times New Roman"/>
          <w:sz w:val="19"/>
        </w:rPr>
        <w:t>This checklist is for use by lifeline utility personnel responsible for pre-emergency planning.</w:t>
      </w:r>
    </w:p>
    <w:p w:rsidR="00694B6F" w:rsidRPr="00694B6F" w:rsidRDefault="00694B6F" w:rsidP="00694B6F">
      <w:pPr>
        <w:tabs>
          <w:tab w:val="left" w:pos="2866"/>
        </w:tabs>
        <w:spacing w:before="40" w:after="40" w:line="271" w:lineRule="auto"/>
        <w:rPr>
          <w:rFonts w:eastAsia="Calibri" w:cs="Times New Roman"/>
          <w:sz w:val="19"/>
        </w:rPr>
      </w:pPr>
      <w:r w:rsidRPr="00694B6F">
        <w:rPr>
          <w:rFonts w:eastAsia="Calibri" w:cs="Times New Roman"/>
          <w:sz w:val="19"/>
        </w:rPr>
        <w:t xml:space="preserve">It is intended to be adapted to suit the purposes of the lifeline utility. </w:t>
      </w:r>
    </w:p>
    <w:p w:rsidR="00694B6F" w:rsidRPr="00694B6F" w:rsidRDefault="00694B6F" w:rsidP="00694B6F">
      <w:pPr>
        <w:spacing w:before="40" w:after="40" w:line="271" w:lineRule="auto"/>
        <w:rPr>
          <w:rFonts w:eastAsia="Calibri" w:cs="Times New Roman"/>
          <w:sz w:val="19"/>
          <w:highlight w:val="yellow"/>
        </w:rPr>
      </w:pPr>
      <w:r w:rsidRPr="00694B6F">
        <w:rPr>
          <w:rFonts w:eastAsia="Calibri" w:cs="Times New Roman"/>
          <w:sz w:val="19"/>
        </w:rPr>
        <w:t xml:space="preserve">References are to sections in </w:t>
      </w:r>
      <w:r w:rsidRPr="00694B6F">
        <w:rPr>
          <w:rFonts w:eastAsia="Calibri" w:cs="Times New Roman"/>
          <w:i/>
          <w:sz w:val="19"/>
        </w:rPr>
        <w:t>Lifeline utilities and CDEM Director’s Guideline</w:t>
      </w:r>
      <w:r w:rsidRPr="00694B6F">
        <w:rPr>
          <w:rFonts w:eastAsia="Calibri" w:cs="Times New Roman"/>
          <w:sz w:val="19"/>
        </w:rPr>
        <w:t>.</w:t>
      </w:r>
    </w:p>
    <w:tbl>
      <w:tblPr>
        <w:tblW w:w="9639" w:type="dxa"/>
        <w:tblInd w:w="108" w:type="dxa"/>
        <w:tblCellMar>
          <w:left w:w="57" w:type="dxa"/>
        </w:tblCellMar>
        <w:tblLook w:val="00A0" w:firstRow="1" w:lastRow="0" w:firstColumn="1" w:lastColumn="0" w:noHBand="0" w:noVBand="0"/>
      </w:tblPr>
      <w:tblGrid>
        <w:gridCol w:w="3507"/>
        <w:gridCol w:w="731"/>
        <w:gridCol w:w="653"/>
        <w:gridCol w:w="73"/>
        <w:gridCol w:w="4121"/>
        <w:gridCol w:w="534"/>
        <w:gridCol w:w="20"/>
      </w:tblGrid>
      <w:tr w:rsidR="00694B6F" w:rsidRPr="00694B6F" w:rsidTr="00F36B50">
        <w:tc>
          <w:tcPr>
            <w:tcW w:w="3507" w:type="dxa"/>
            <w:vAlign w:val="bottom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8"/>
              </w:rPr>
            </w:pPr>
          </w:p>
        </w:tc>
        <w:tc>
          <w:tcPr>
            <w:tcW w:w="6132" w:type="dxa"/>
            <w:gridSpan w:val="6"/>
            <w:vAlign w:val="center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8"/>
              </w:rPr>
            </w:pP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3507" w:type="dxa"/>
          </w:tcPr>
          <w:p w:rsidR="00694B6F" w:rsidRPr="00694B6F" w:rsidRDefault="00694B6F" w:rsidP="00694B6F">
            <w:pPr>
              <w:spacing w:before="120" w:after="120" w:line="271" w:lineRule="auto"/>
              <w:rPr>
                <w:rFonts w:ascii="Arial Narrow" w:eastAsia="Calibri" w:hAnsi="Arial Narrow" w:cs="Times New Roman"/>
                <w:b/>
                <w:color w:val="005A9B"/>
                <w:sz w:val="24"/>
              </w:rPr>
            </w:pPr>
            <w:r w:rsidRPr="00694B6F">
              <w:rPr>
                <w:rFonts w:ascii="Arial Narrow" w:eastAsia="Calibri" w:hAnsi="Arial Narrow" w:cs="Times New Roman"/>
                <w:b/>
                <w:color w:val="005A9B"/>
                <w:sz w:val="24"/>
              </w:rPr>
              <w:t>Working in partnership</w:t>
            </w:r>
          </w:p>
        </w:tc>
        <w:tc>
          <w:tcPr>
            <w:tcW w:w="6112" w:type="dxa"/>
            <w:gridSpan w:val="5"/>
            <w:vAlign w:val="center"/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(see section</w:t>
            </w:r>
            <w:r>
              <w:rPr>
                <w:rFonts w:eastAsia="Calibri" w:cs="Times New Roman"/>
                <w:sz w:val="20"/>
              </w:rPr>
              <w:t xml:space="preserve"> 3.1</w:t>
            </w:r>
            <w:r w:rsidRPr="00694B6F">
              <w:rPr>
                <w:rFonts w:eastAsia="Calibri" w:cs="Times New Roman"/>
                <w:sz w:val="20"/>
              </w:rPr>
              <w:t xml:space="preserve"> </w:t>
            </w:r>
            <w:r w:rsidRPr="00694B6F">
              <w:rPr>
                <w:rFonts w:eastAsia="Calibri" w:cs="Times New Roman"/>
                <w:i/>
                <w:color w:val="005A9B"/>
                <w:sz w:val="20"/>
                <w:u w:val="single"/>
              </w:rPr>
              <w:t>Working in partnership</w:t>
            </w:r>
            <w:r w:rsidRPr="00694B6F">
              <w:rPr>
                <w:rFonts w:eastAsia="Calibri" w:cs="Times New Roman"/>
                <w:sz w:val="20"/>
              </w:rPr>
              <w:t xml:space="preserve"> on page</w:t>
            </w:r>
            <w:r>
              <w:rPr>
                <w:rFonts w:eastAsia="Calibri" w:cs="Times New Roman"/>
                <w:sz w:val="20"/>
              </w:rPr>
              <w:t xml:space="preserve"> 17</w:t>
            </w:r>
            <w:r w:rsidRPr="00694B6F">
              <w:rPr>
                <w:rFonts w:eastAsia="Calibri" w:cs="Times New Roman"/>
                <w:sz w:val="20"/>
              </w:rPr>
              <w:t>)</w:t>
            </w:r>
          </w:p>
        </w:tc>
      </w:tr>
      <w:tr w:rsidR="00694B6F" w:rsidRPr="00694B6F" w:rsidTr="00F36B50">
        <w:trPr>
          <w:gridAfter w:val="1"/>
          <w:wAfter w:w="20" w:type="dxa"/>
          <w:trHeight w:val="214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694B6F">
              <w:rPr>
                <w:rFonts w:eastAsia="Calibri" w:cs="Times New Roman"/>
                <w:b/>
                <w:color w:val="FFFFFF"/>
                <w:sz w:val="20"/>
              </w:rPr>
              <w:t>Contact is maintained with:</w:t>
            </w: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4238" w:type="dxa"/>
            <w:gridSpan w:val="2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CDEM Group GEMOs and EMOs</w:t>
            </w:r>
          </w:p>
        </w:tc>
        <w:tc>
          <w:tcPr>
            <w:tcW w:w="653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4194" w:type="dxa"/>
            <w:gridSpan w:val="2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sector coordinating entity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4238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CDEM Group LUC Manager</w:t>
            </w:r>
          </w:p>
        </w:tc>
        <w:tc>
          <w:tcPr>
            <w:tcW w:w="653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other sector organisations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4238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Lifelines Group</w:t>
            </w:r>
          </w:p>
        </w:tc>
        <w:tc>
          <w:tcPr>
            <w:tcW w:w="653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emergency services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214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694B6F">
              <w:rPr>
                <w:rFonts w:eastAsia="Calibri" w:cs="Times New Roman"/>
                <w:b/>
                <w:color w:val="FFFFFF"/>
                <w:sz w:val="20"/>
              </w:rPr>
              <w:t>participation in:</w:t>
            </w: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4238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Lifelines Group activities</w:t>
            </w:r>
          </w:p>
        </w:tc>
        <w:tc>
          <w:tcPr>
            <w:tcW w:w="653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4194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sector organisations activities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c>
          <w:tcPr>
            <w:tcW w:w="3507" w:type="dxa"/>
            <w:vAlign w:val="bottom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16"/>
              </w:rPr>
            </w:pPr>
          </w:p>
        </w:tc>
        <w:tc>
          <w:tcPr>
            <w:tcW w:w="6132" w:type="dxa"/>
            <w:gridSpan w:val="6"/>
            <w:vAlign w:val="center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8"/>
              </w:rPr>
            </w:pPr>
          </w:p>
        </w:tc>
      </w:tr>
      <w:tr w:rsidR="00694B6F" w:rsidRPr="00694B6F" w:rsidTr="00F36B50">
        <w:tc>
          <w:tcPr>
            <w:tcW w:w="3507" w:type="dxa"/>
            <w:vAlign w:val="bottom"/>
          </w:tcPr>
          <w:p w:rsidR="00694B6F" w:rsidRPr="00694B6F" w:rsidRDefault="00694B6F" w:rsidP="00694B6F">
            <w:pPr>
              <w:spacing w:before="120" w:after="120" w:line="271" w:lineRule="auto"/>
              <w:rPr>
                <w:rFonts w:ascii="Arial Narrow" w:eastAsia="Calibri" w:hAnsi="Arial Narrow" w:cs="Times New Roman"/>
                <w:b/>
                <w:color w:val="005A9B"/>
                <w:sz w:val="24"/>
              </w:rPr>
            </w:pPr>
            <w:r w:rsidRPr="00694B6F">
              <w:rPr>
                <w:rFonts w:ascii="Arial Narrow" w:eastAsia="Calibri" w:hAnsi="Arial Narrow" w:cs="Times New Roman"/>
                <w:b/>
                <w:color w:val="005A9B"/>
                <w:sz w:val="24"/>
              </w:rPr>
              <w:t>Business continuity management</w:t>
            </w:r>
          </w:p>
        </w:tc>
        <w:tc>
          <w:tcPr>
            <w:tcW w:w="6132" w:type="dxa"/>
            <w:gridSpan w:val="6"/>
            <w:vAlign w:val="center"/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(see section</w:t>
            </w:r>
            <w:r>
              <w:rPr>
                <w:rFonts w:eastAsia="Calibri" w:cs="Times New Roman"/>
                <w:sz w:val="20"/>
              </w:rPr>
              <w:t xml:space="preserve"> 2.1.2</w:t>
            </w:r>
            <w:r w:rsidRPr="00694B6F">
              <w:rPr>
                <w:rFonts w:eastAsia="Calibri" w:cs="Times New Roman"/>
                <w:sz w:val="20"/>
              </w:rPr>
              <w:t xml:space="preserve"> </w:t>
            </w:r>
            <w:r w:rsidRPr="00694B6F">
              <w:rPr>
                <w:rFonts w:eastAsia="Calibri" w:cs="Times New Roman"/>
                <w:i/>
                <w:color w:val="005A9B"/>
                <w:sz w:val="20"/>
                <w:u w:val="single"/>
              </w:rPr>
              <w:t>Business continuity management</w:t>
            </w:r>
            <w:r>
              <w:rPr>
                <w:rFonts w:eastAsia="Calibri" w:cs="Times New Roman"/>
                <w:sz w:val="20"/>
              </w:rPr>
              <w:t xml:space="preserve"> </w:t>
            </w:r>
            <w:r w:rsidRPr="00694B6F">
              <w:rPr>
                <w:rFonts w:eastAsia="Calibri" w:cs="Times New Roman"/>
                <w:sz w:val="20"/>
              </w:rPr>
              <w:t>on page</w:t>
            </w:r>
            <w:r>
              <w:rPr>
                <w:rFonts w:eastAsia="Calibri" w:cs="Times New Roman"/>
                <w:sz w:val="20"/>
              </w:rPr>
              <w:t xml:space="preserve"> 12</w:t>
            </w:r>
            <w:r w:rsidRPr="00694B6F">
              <w:rPr>
                <w:rFonts w:eastAsia="Calibri" w:cs="Times New Roman"/>
                <w:sz w:val="20"/>
              </w:rPr>
              <w:t>)</w:t>
            </w: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694B6F">
              <w:rPr>
                <w:rFonts w:eastAsia="Calibri" w:cs="Times New Roman"/>
                <w:b/>
                <w:color w:val="FFFFFF"/>
                <w:sz w:val="20"/>
              </w:rPr>
              <w:t>Business continuity plans include:</w:t>
            </w: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 xml:space="preserve">identification of critical business functions and processes, and potential impacts on them are defined 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required service levels (including load-shedding, restoration priorities, and CDEM-critical activities) determined in collaboration with key customers, other lifeline utilities, and with the CDEM Group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contingency planning for damaged and affected functions, services, and networks,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risk reduction for network assets, key facilities, and other service delivery mechanisms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plans that are exercised, and validated with external agencies, including contractors if applicable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5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monitoring and evaluation processes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694B6F">
              <w:rPr>
                <w:rFonts w:eastAsia="Calibri" w:cs="Times New Roman"/>
                <w:b/>
                <w:color w:val="FFFFFF"/>
                <w:sz w:val="20"/>
              </w:rPr>
              <w:t>Response plans include:</w:t>
            </w: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4238" w:type="dxa"/>
            <w:gridSpan w:val="2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emergency workspace location and back-up</w:t>
            </w:r>
          </w:p>
        </w:tc>
        <w:tc>
          <w:tcPr>
            <w:tcW w:w="726" w:type="dxa"/>
            <w:gridSpan w:val="2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</w:p>
        </w:tc>
        <w:tc>
          <w:tcPr>
            <w:tcW w:w="4121" w:type="dxa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personnel have emergency plans for home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 xml:space="preserve">response personnel, including Lifeline Liaison to ECC, a spokesperson, and </w:t>
            </w:r>
            <w:proofErr w:type="spellStart"/>
            <w:r w:rsidRPr="00694B6F">
              <w:rPr>
                <w:rFonts w:eastAsia="Calibri" w:cs="Times New Roman"/>
                <w:sz w:val="19"/>
              </w:rPr>
              <w:t>rostered</w:t>
            </w:r>
            <w:proofErr w:type="spellEnd"/>
            <w:r w:rsidRPr="00694B6F">
              <w:rPr>
                <w:rFonts w:eastAsia="Calibri" w:cs="Times New Roman"/>
                <w:sz w:val="19"/>
              </w:rPr>
              <w:t xml:space="preserve"> backups 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means of communication internally, as well as with GEMO, LUC, and SCE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9085" w:type="dxa"/>
            <w:gridSpan w:val="5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required resources including remote data access capability and copies of required documents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c>
          <w:tcPr>
            <w:tcW w:w="3507" w:type="dxa"/>
            <w:vAlign w:val="bottom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16"/>
              </w:rPr>
            </w:pPr>
          </w:p>
        </w:tc>
        <w:tc>
          <w:tcPr>
            <w:tcW w:w="6132" w:type="dxa"/>
            <w:gridSpan w:val="6"/>
            <w:vAlign w:val="center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8"/>
              </w:rPr>
            </w:pP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3507" w:type="dxa"/>
          </w:tcPr>
          <w:p w:rsidR="00694B6F" w:rsidRPr="00694B6F" w:rsidRDefault="00694B6F" w:rsidP="00694B6F">
            <w:pPr>
              <w:spacing w:before="120" w:after="120" w:line="271" w:lineRule="auto"/>
              <w:rPr>
                <w:rFonts w:ascii="Arial Narrow" w:eastAsia="Calibri" w:hAnsi="Arial Narrow" w:cs="Times New Roman"/>
                <w:b/>
                <w:color w:val="005A9B"/>
                <w:sz w:val="24"/>
              </w:rPr>
            </w:pPr>
            <w:r w:rsidRPr="00694B6F">
              <w:rPr>
                <w:rFonts w:ascii="Arial Narrow" w:eastAsia="Calibri" w:hAnsi="Arial Narrow" w:cs="Times New Roman"/>
                <w:b/>
                <w:color w:val="005A9B"/>
                <w:sz w:val="24"/>
              </w:rPr>
              <w:t>Providing advice</w:t>
            </w:r>
          </w:p>
        </w:tc>
        <w:tc>
          <w:tcPr>
            <w:tcW w:w="6112" w:type="dxa"/>
            <w:gridSpan w:val="5"/>
            <w:vAlign w:val="center"/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(see section</w:t>
            </w:r>
            <w:r>
              <w:rPr>
                <w:rFonts w:eastAsia="Calibri" w:cs="Times New Roman"/>
                <w:sz w:val="20"/>
              </w:rPr>
              <w:t xml:space="preserve"> 2.1.3</w:t>
            </w:r>
            <w:r w:rsidRPr="00694B6F">
              <w:rPr>
                <w:rFonts w:eastAsia="Calibri" w:cs="Times New Roman"/>
                <w:sz w:val="20"/>
              </w:rPr>
              <w:t xml:space="preserve"> </w:t>
            </w:r>
            <w:r w:rsidRPr="00694B6F">
              <w:rPr>
                <w:rFonts w:eastAsia="Calibri" w:cs="Times New Roman"/>
                <w:i/>
                <w:color w:val="005A9B"/>
                <w:sz w:val="20"/>
                <w:u w:val="single"/>
              </w:rPr>
              <w:t>Providing information and advice</w:t>
            </w:r>
            <w:r w:rsidRPr="00694B6F">
              <w:rPr>
                <w:rFonts w:eastAsia="Calibri" w:cs="Times New Roman"/>
                <w:sz w:val="20"/>
              </w:rPr>
              <w:t xml:space="preserve"> on page</w:t>
            </w:r>
            <w:r>
              <w:rPr>
                <w:rFonts w:eastAsia="Calibri" w:cs="Times New Roman"/>
                <w:sz w:val="20"/>
              </w:rPr>
              <w:t xml:space="preserve"> 13</w:t>
            </w:r>
            <w:r w:rsidRPr="00694B6F">
              <w:rPr>
                <w:rFonts w:eastAsia="Calibri" w:cs="Times New Roman"/>
                <w:sz w:val="20"/>
              </w:rPr>
              <w:t>)</w:t>
            </w: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18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9085" w:type="dxa"/>
            <w:gridSpan w:val="5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contributes to CDEM Group Plan reviews directly / through Lifelines Group or sector organisation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9085" w:type="dxa"/>
            <w:gridSpan w:val="5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submits feedback to MCDEM when requested, regarding national CDEM documents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c>
          <w:tcPr>
            <w:tcW w:w="3507" w:type="dxa"/>
            <w:vAlign w:val="bottom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16"/>
              </w:rPr>
            </w:pPr>
          </w:p>
        </w:tc>
        <w:tc>
          <w:tcPr>
            <w:tcW w:w="6132" w:type="dxa"/>
            <w:gridSpan w:val="6"/>
            <w:vAlign w:val="center"/>
          </w:tcPr>
          <w:p w:rsidR="00694B6F" w:rsidRPr="00694B6F" w:rsidRDefault="00694B6F" w:rsidP="00694B6F">
            <w:pPr>
              <w:spacing w:after="0" w:line="240" w:lineRule="auto"/>
              <w:rPr>
                <w:rFonts w:eastAsia="Calibri" w:cs="Times New Roman"/>
                <w:sz w:val="8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144"/>
        </w:trPr>
        <w:tc>
          <w:tcPr>
            <w:tcW w:w="3507" w:type="dxa"/>
          </w:tcPr>
          <w:p w:rsidR="00694B6F" w:rsidRPr="00694B6F" w:rsidRDefault="00694B6F" w:rsidP="00694B6F">
            <w:pPr>
              <w:spacing w:before="120" w:after="120" w:line="271" w:lineRule="auto"/>
              <w:rPr>
                <w:rFonts w:ascii="Arial Narrow" w:eastAsia="Calibri" w:hAnsi="Arial Narrow" w:cs="Times New Roman"/>
                <w:b/>
                <w:color w:val="005A9B"/>
                <w:sz w:val="24"/>
              </w:rPr>
            </w:pPr>
            <w:r w:rsidRPr="00694B6F">
              <w:rPr>
                <w:rFonts w:ascii="Arial Narrow" w:eastAsia="Calibri" w:hAnsi="Arial Narrow" w:cs="Times New Roman"/>
                <w:b/>
                <w:color w:val="005A9B"/>
                <w:sz w:val="24"/>
              </w:rPr>
              <w:t>Capability developme</w:t>
            </w:r>
            <w:bookmarkStart w:id="13" w:name="_GoBack"/>
            <w:bookmarkEnd w:id="13"/>
            <w:r w:rsidRPr="00694B6F">
              <w:rPr>
                <w:rFonts w:ascii="Arial Narrow" w:eastAsia="Calibri" w:hAnsi="Arial Narrow" w:cs="Times New Roman"/>
                <w:b/>
                <w:color w:val="005A9B"/>
                <w:sz w:val="24"/>
              </w:rPr>
              <w:t>nt</w:t>
            </w:r>
          </w:p>
        </w:tc>
        <w:tc>
          <w:tcPr>
            <w:tcW w:w="6112" w:type="dxa"/>
            <w:gridSpan w:val="5"/>
            <w:vAlign w:val="center"/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694B6F">
              <w:rPr>
                <w:rFonts w:eastAsia="Calibri" w:cs="Times New Roman"/>
                <w:sz w:val="20"/>
              </w:rPr>
              <w:t>(see section</w:t>
            </w:r>
            <w:r>
              <w:rPr>
                <w:rFonts w:eastAsia="Calibri" w:cs="Times New Roman"/>
                <w:sz w:val="20"/>
              </w:rPr>
              <w:t xml:space="preserve"> 2.1.4 </w:t>
            </w:r>
            <w:r w:rsidRPr="00694B6F">
              <w:rPr>
                <w:rFonts w:eastAsia="Calibri" w:cs="Times New Roman"/>
                <w:i/>
                <w:color w:val="005A9B"/>
                <w:sz w:val="20"/>
                <w:u w:val="single"/>
              </w:rPr>
              <w:t>Capability development</w:t>
            </w:r>
            <w:r w:rsidRPr="00694B6F">
              <w:rPr>
                <w:rFonts w:eastAsia="Calibri" w:cs="Times New Roman"/>
                <w:i/>
                <w:color w:val="005A9B"/>
                <w:sz w:val="20"/>
                <w:u w:val="single"/>
              </w:rPr>
              <w:t xml:space="preserve"> </w:t>
            </w:r>
            <w:r w:rsidRPr="00694B6F">
              <w:rPr>
                <w:rFonts w:eastAsia="Calibri" w:cs="Times New Roman"/>
                <w:sz w:val="20"/>
              </w:rPr>
              <w:t>on page</w:t>
            </w:r>
            <w:r>
              <w:rPr>
                <w:rFonts w:eastAsia="Calibri" w:cs="Times New Roman"/>
                <w:sz w:val="20"/>
              </w:rPr>
              <w:t xml:space="preserve"> 13</w:t>
            </w:r>
            <w:r w:rsidRPr="00694B6F">
              <w:rPr>
                <w:rFonts w:eastAsia="Calibri" w:cs="Times New Roman"/>
                <w:sz w:val="20"/>
              </w:rPr>
              <w:t>)</w:t>
            </w:r>
          </w:p>
        </w:tc>
      </w:tr>
      <w:tr w:rsidR="00694B6F" w:rsidRPr="00694B6F" w:rsidTr="00F36B50">
        <w:trPr>
          <w:gridAfter w:val="1"/>
          <w:wAfter w:w="20" w:type="dxa"/>
        </w:trPr>
        <w:tc>
          <w:tcPr>
            <w:tcW w:w="9619" w:type="dxa"/>
            <w:gridSpan w:val="6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005A9B"/>
          </w:tcPr>
          <w:p w:rsidR="00694B6F" w:rsidRPr="00694B6F" w:rsidRDefault="00694B6F" w:rsidP="00694B6F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694B6F">
              <w:rPr>
                <w:rFonts w:eastAsia="Calibri" w:cs="Times New Roman"/>
                <w:b/>
                <w:color w:val="FFFFFF"/>
                <w:sz w:val="20"/>
              </w:rPr>
              <w:t>Training tasks carried out:</w:t>
            </w: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4238" w:type="dxa"/>
            <w:gridSpan w:val="2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skill gaps are identified</w:t>
            </w:r>
          </w:p>
        </w:tc>
        <w:tc>
          <w:tcPr>
            <w:tcW w:w="726" w:type="dxa"/>
            <w:gridSpan w:val="2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</w:p>
        </w:tc>
        <w:tc>
          <w:tcPr>
            <w:tcW w:w="4121" w:type="dxa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response personnel participating in exercises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47"/>
        </w:trPr>
        <w:tc>
          <w:tcPr>
            <w:tcW w:w="4238" w:type="dxa"/>
            <w:gridSpan w:val="2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 xml:space="preserve">potential programmes by CDEM and external organisations are identified </w:t>
            </w:r>
          </w:p>
        </w:tc>
        <w:tc>
          <w:tcPr>
            <w:tcW w:w="726" w:type="dxa"/>
            <w:gridSpan w:val="2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</w:p>
        </w:tc>
        <w:tc>
          <w:tcPr>
            <w:tcW w:w="4121" w:type="dxa"/>
            <w:tcBorders>
              <w:top w:val="single" w:sz="12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>training and development programmes for individual personnel developed</w:t>
            </w:r>
          </w:p>
        </w:tc>
        <w:tc>
          <w:tcPr>
            <w:tcW w:w="534" w:type="dxa"/>
            <w:tcBorders>
              <w:top w:val="single" w:sz="12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694B6F" w:rsidRPr="00694B6F" w:rsidTr="00F36B50">
        <w:trPr>
          <w:gridAfter w:val="1"/>
          <w:wAfter w:w="20" w:type="dxa"/>
          <w:trHeight w:val="220"/>
        </w:trPr>
        <w:tc>
          <w:tcPr>
            <w:tcW w:w="9085" w:type="dxa"/>
            <w:gridSpan w:val="5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6" w:space="0" w:color="005A9B"/>
            </w:tcBorders>
          </w:tcPr>
          <w:p w:rsidR="00694B6F" w:rsidRPr="00694B6F" w:rsidRDefault="00694B6F" w:rsidP="00694B6F">
            <w:pPr>
              <w:tabs>
                <w:tab w:val="left" w:pos="2866"/>
              </w:tabs>
              <w:spacing w:before="40" w:after="40" w:line="271" w:lineRule="auto"/>
              <w:rPr>
                <w:rFonts w:eastAsia="Calibri" w:cs="Times New Roman"/>
                <w:sz w:val="19"/>
              </w:rPr>
            </w:pPr>
            <w:r w:rsidRPr="00694B6F">
              <w:rPr>
                <w:rFonts w:eastAsia="Calibri" w:cs="Times New Roman"/>
                <w:sz w:val="19"/>
              </w:rPr>
              <w:t xml:space="preserve">ongoing arrangements for the lifeline utility to participate regularly in CDEM exercises </w:t>
            </w:r>
          </w:p>
        </w:tc>
        <w:tc>
          <w:tcPr>
            <w:tcW w:w="534" w:type="dxa"/>
            <w:tcBorders>
              <w:top w:val="single" w:sz="6" w:space="0" w:color="005A9B"/>
              <w:left w:val="single" w:sz="6" w:space="0" w:color="005A9B"/>
              <w:bottom w:val="single" w:sz="12" w:space="0" w:color="005A9B"/>
              <w:right w:val="single" w:sz="12" w:space="0" w:color="005A9B"/>
            </w:tcBorders>
          </w:tcPr>
          <w:p w:rsidR="00694B6F" w:rsidRPr="00694B6F" w:rsidRDefault="00694B6F" w:rsidP="00694B6F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</w:tbl>
    <w:p w:rsidR="007901B4" w:rsidRDefault="007901B4"/>
    <w:sectPr w:rsidR="007901B4" w:rsidSect="00694B6F">
      <w:pgSz w:w="11906" w:h="16838"/>
      <w:pgMar w:top="1021" w:right="102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F"/>
    <w:rsid w:val="00694B6F"/>
    <w:rsid w:val="007901B4"/>
    <w:rsid w:val="007D6AD6"/>
    <w:rsid w:val="00A4349D"/>
    <w:rsid w:val="00D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A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A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49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A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A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A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AD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49D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A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A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6A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AD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AD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6AD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D6AD6"/>
    <w:rPr>
      <w:b/>
      <w:bCs/>
    </w:rPr>
  </w:style>
  <w:style w:type="character" w:styleId="Emphasis">
    <w:name w:val="Emphasis"/>
    <w:basedOn w:val="DefaultParagraphFont"/>
    <w:uiPriority w:val="20"/>
    <w:qFormat/>
    <w:rsid w:val="007D6AD6"/>
    <w:rPr>
      <w:i/>
      <w:iCs/>
    </w:rPr>
  </w:style>
  <w:style w:type="paragraph" w:styleId="NoSpacing">
    <w:name w:val="No Spacing"/>
    <w:link w:val="NoSpacingChar"/>
    <w:uiPriority w:val="1"/>
    <w:qFormat/>
    <w:rsid w:val="007D6AD6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D6AD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D6A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AD6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6AD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AD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AD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D6AD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6AD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D6AD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6AD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6A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A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A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A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49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A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A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A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AD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49D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A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A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6A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AD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AD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6AD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D6AD6"/>
    <w:rPr>
      <w:b/>
      <w:bCs/>
    </w:rPr>
  </w:style>
  <w:style w:type="character" w:styleId="Emphasis">
    <w:name w:val="Emphasis"/>
    <w:basedOn w:val="DefaultParagraphFont"/>
    <w:uiPriority w:val="20"/>
    <w:qFormat/>
    <w:rsid w:val="007D6AD6"/>
    <w:rPr>
      <w:i/>
      <w:iCs/>
    </w:rPr>
  </w:style>
  <w:style w:type="paragraph" w:styleId="NoSpacing">
    <w:name w:val="No Spacing"/>
    <w:link w:val="NoSpacingChar"/>
    <w:uiPriority w:val="1"/>
    <w:qFormat/>
    <w:rsid w:val="007D6AD6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D6AD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D6A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AD6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6AD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AD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AD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D6AD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6AD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D6AD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6AD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6A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A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2098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2014-06-20T01:05:00Z</dcterms:created>
  <dcterms:modified xsi:type="dcterms:W3CDTF">2014-06-20T01:09:00Z</dcterms:modified>
</cp:coreProperties>
</file>