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7E" w:rsidRPr="0051037E" w:rsidRDefault="0051037E" w:rsidP="0051037E">
      <w:pPr>
        <w:pageBreakBefore/>
        <w:numPr>
          <w:ilvl w:val="5"/>
          <w:numId w:val="0"/>
        </w:numPr>
        <w:pBdr>
          <w:bottom w:val="single" w:sz="8" w:space="1" w:color="AFAFAF"/>
        </w:pBdr>
        <w:spacing w:before="360" w:after="40" w:line="240" w:lineRule="auto"/>
        <w:outlineLvl w:val="5"/>
        <w:rPr>
          <w:rFonts w:ascii="Arial Narrow" w:eastAsia="Times New Roman" w:hAnsi="Arial Narrow" w:cs="Times New Roman"/>
          <w:b/>
          <w:bCs/>
          <w:caps/>
          <w:color w:val="005A9B"/>
          <w:sz w:val="36"/>
          <w:szCs w:val="28"/>
        </w:rPr>
      </w:pPr>
      <w:bookmarkStart w:id="0" w:name="AppendixCsummarytasksresponsibilities"/>
      <w:bookmarkStart w:id="1" w:name="_Toc374081727"/>
      <w:bookmarkStart w:id="2" w:name="_Toc374082121"/>
      <w:bookmarkStart w:id="3" w:name="_Toc390780349"/>
      <w:bookmarkStart w:id="4" w:name="_Toc390784451"/>
      <w:r>
        <w:rPr>
          <w:rFonts w:ascii="Arial Narrow" w:eastAsia="Times New Roman" w:hAnsi="Arial Narrow" w:cs="Times New Roman"/>
          <w:b/>
          <w:bCs/>
          <w:caps/>
          <w:color w:val="005A9B"/>
          <w:sz w:val="36"/>
          <w:szCs w:val="28"/>
        </w:rPr>
        <w:t>APPENDIX C</w:t>
      </w:r>
      <w:r>
        <w:rPr>
          <w:rFonts w:ascii="Arial Narrow" w:eastAsia="Times New Roman" w:hAnsi="Arial Narrow" w:cs="Times New Roman"/>
          <w:b/>
          <w:bCs/>
          <w:caps/>
          <w:color w:val="005A9B"/>
          <w:sz w:val="36"/>
          <w:szCs w:val="28"/>
        </w:rPr>
        <w:tab/>
      </w:r>
      <w:r w:rsidRPr="0051037E">
        <w:rPr>
          <w:rFonts w:ascii="Arial Narrow" w:eastAsia="Times New Roman" w:hAnsi="Arial Narrow" w:cs="Times New Roman"/>
          <w:b/>
          <w:bCs/>
          <w:caps/>
          <w:color w:val="005A9B"/>
          <w:sz w:val="36"/>
          <w:szCs w:val="28"/>
        </w:rPr>
        <w:t>Summary of tasks and responsibilities</w:t>
      </w:r>
      <w:bookmarkEnd w:id="0"/>
      <w:bookmarkEnd w:id="1"/>
      <w:bookmarkEnd w:id="2"/>
      <w:bookmarkEnd w:id="3"/>
      <w:bookmarkEnd w:id="4"/>
    </w:p>
    <w:p w:rsidR="0051037E" w:rsidRPr="0051037E" w:rsidRDefault="0051037E" w:rsidP="0051037E">
      <w:pPr>
        <w:spacing w:before="120" w:after="120" w:line="271" w:lineRule="auto"/>
        <w:rPr>
          <w:rFonts w:eastAsia="Calibri" w:cs="Times New Roman"/>
          <w:sz w:val="20"/>
        </w:rPr>
      </w:pPr>
      <w:r w:rsidRPr="0051037E">
        <w:rPr>
          <w:rFonts w:eastAsia="Calibri" w:cs="Times New Roman"/>
          <w:sz w:val="20"/>
        </w:rPr>
        <w:t>This appendix provides a summary of responsibilities that relate to lifeline utilities, for both lifeline utilities and their partners in CDEM.</w:t>
      </w:r>
    </w:p>
    <w:p w:rsidR="0051037E" w:rsidRPr="0051037E" w:rsidRDefault="0051037E" w:rsidP="0051037E">
      <w:pPr>
        <w:numPr>
          <w:ilvl w:val="6"/>
          <w:numId w:val="0"/>
        </w:numPr>
        <w:pBdr>
          <w:bottom w:val="single" w:sz="6" w:space="1" w:color="AFAFAF"/>
        </w:pBdr>
        <w:spacing w:before="200" w:after="40" w:line="240" w:lineRule="auto"/>
        <w:outlineLvl w:val="6"/>
        <w:rPr>
          <w:rFonts w:ascii="Arial Narrow" w:eastAsia="Calibri" w:hAnsi="Arial Narrow" w:cs="Times New Roman"/>
          <w:b/>
          <w:color w:val="005A9B"/>
          <w:sz w:val="32"/>
        </w:rPr>
      </w:pPr>
      <w:bookmarkStart w:id="5" w:name="_Toc374082122"/>
      <w:r w:rsidRPr="0051037E">
        <w:rPr>
          <w:rFonts w:ascii="Arial Narrow" w:eastAsia="Calibri" w:hAnsi="Arial Narrow" w:cs="Times New Roman"/>
          <w:b/>
          <w:color w:val="005A9B"/>
          <w:sz w:val="32"/>
        </w:rPr>
        <w:t>Risk reduction and readiness</w:t>
      </w:r>
      <w:bookmarkEnd w:id="5"/>
    </w:p>
    <w:tbl>
      <w:tblPr>
        <w:tblW w:w="9633" w:type="dxa"/>
        <w:tblInd w:w="108" w:type="dxa"/>
        <w:tblBorders>
          <w:top w:val="single" w:sz="12" w:space="0" w:color="005A9B"/>
          <w:left w:val="single" w:sz="12" w:space="0" w:color="005A9B"/>
          <w:bottom w:val="single" w:sz="12" w:space="0" w:color="005A9B"/>
          <w:right w:val="single" w:sz="12" w:space="0" w:color="005A9B"/>
          <w:insideH w:val="single" w:sz="6" w:space="0" w:color="005A9B"/>
          <w:insideV w:val="single" w:sz="6" w:space="0" w:color="005A9B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237"/>
        <w:gridCol w:w="1695"/>
      </w:tblGrid>
      <w:tr w:rsidR="0051037E" w:rsidRPr="0051037E" w:rsidTr="001F1BC4">
        <w:trPr>
          <w:tblHeader/>
        </w:trPr>
        <w:tc>
          <w:tcPr>
            <w:tcW w:w="1701" w:type="dxa"/>
            <w:tcBorders>
              <w:top w:val="single" w:sz="12" w:space="0" w:color="005A9B"/>
              <w:right w:val="single" w:sz="6" w:space="0" w:color="FFFFFF"/>
            </w:tcBorders>
            <w:shd w:val="clear" w:color="auto" w:fill="005A9B"/>
          </w:tcPr>
          <w:p w:rsidR="0051037E" w:rsidRPr="0051037E" w:rsidRDefault="0051037E" w:rsidP="0051037E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51037E">
              <w:rPr>
                <w:rFonts w:eastAsia="Calibri" w:cs="Times New Roman"/>
                <w:b/>
                <w:color w:val="FFFFFF"/>
                <w:sz w:val="20"/>
              </w:rPr>
              <w:t>Organisation</w:t>
            </w:r>
          </w:p>
        </w:tc>
        <w:tc>
          <w:tcPr>
            <w:tcW w:w="6237" w:type="dxa"/>
            <w:tcBorders>
              <w:top w:val="single" w:sz="12" w:space="0" w:color="005A9B"/>
              <w:left w:val="single" w:sz="6" w:space="0" w:color="FFFFFF"/>
              <w:right w:val="single" w:sz="6" w:space="0" w:color="FFFFFF"/>
            </w:tcBorders>
            <w:shd w:val="clear" w:color="auto" w:fill="005A9B"/>
          </w:tcPr>
          <w:p w:rsidR="0051037E" w:rsidRPr="0051037E" w:rsidRDefault="0051037E" w:rsidP="0051037E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51037E">
              <w:rPr>
                <w:rFonts w:eastAsia="Calibri" w:cs="Times New Roman"/>
                <w:b/>
                <w:color w:val="FFFFFF"/>
                <w:sz w:val="20"/>
              </w:rPr>
              <w:t>Responsibilities</w:t>
            </w:r>
          </w:p>
        </w:tc>
        <w:tc>
          <w:tcPr>
            <w:tcW w:w="1695" w:type="dxa"/>
            <w:tcBorders>
              <w:top w:val="single" w:sz="12" w:space="0" w:color="005A9B"/>
              <w:left w:val="single" w:sz="6" w:space="0" w:color="FFFFFF"/>
            </w:tcBorders>
            <w:shd w:val="clear" w:color="auto" w:fill="005A9B"/>
          </w:tcPr>
          <w:p w:rsidR="0051037E" w:rsidRPr="0051037E" w:rsidRDefault="0051037E" w:rsidP="0051037E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51037E">
              <w:rPr>
                <w:rFonts w:eastAsia="Calibri" w:cs="Times New Roman"/>
                <w:b/>
                <w:color w:val="FFFFFF"/>
                <w:sz w:val="20"/>
              </w:rPr>
              <w:t>Working with</w:t>
            </w:r>
          </w:p>
        </w:tc>
      </w:tr>
      <w:tr w:rsidR="0051037E" w:rsidRPr="0051037E" w:rsidTr="001F1BC4">
        <w:tc>
          <w:tcPr>
            <w:tcW w:w="1701" w:type="dxa"/>
            <w:vMerge w:val="restart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All lifeline utilities </w:t>
            </w: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ensuring they are able to function to the fullest possible extent, even though this may be at a reduced level, during and after an emergency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Undertaking hazard and risk analysis and carrying out risk mitigation measures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developing, maintaining, and exercising coordination processes for responses to emergencies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CDEM Groups, and SCEs as appropriate</w:t>
            </w: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providing advice to CDEM Groups and MCDEM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Lifelines Groups</w:t>
            </w: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participating in Lifelines Group activities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Lifelines Groups</w:t>
            </w: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carrying out business continuity management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preparing for own emergency response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51037E" w:rsidRPr="0051037E" w:rsidTr="001F1BC4">
        <w:tc>
          <w:tcPr>
            <w:tcW w:w="1701" w:type="dxa"/>
            <w:vMerge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participating in regional and national exercises</w:t>
            </w:r>
          </w:p>
        </w:tc>
        <w:tc>
          <w:tcPr>
            <w:tcW w:w="1695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CDEM Groups and MCDEM</w:t>
            </w:r>
          </w:p>
        </w:tc>
      </w:tr>
      <w:tr w:rsidR="0051037E" w:rsidRPr="0051037E" w:rsidTr="001F1BC4">
        <w:tc>
          <w:tcPr>
            <w:tcW w:w="1701" w:type="dxa"/>
            <w:tcBorders>
              <w:top w:val="single" w:sz="12" w:space="0" w:color="005A9B"/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National lifeline utilities</w:t>
            </w:r>
          </w:p>
        </w:tc>
        <w:tc>
          <w:tcPr>
            <w:tcW w:w="6237" w:type="dxa"/>
            <w:tcBorders>
              <w:top w:val="single" w:sz="12" w:space="0" w:color="005A9B"/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contributing to developing and maintaining sector coordinating entities</w:t>
            </w:r>
          </w:p>
        </w:tc>
        <w:tc>
          <w:tcPr>
            <w:tcW w:w="1695" w:type="dxa"/>
            <w:tcBorders>
              <w:top w:val="single" w:sz="12" w:space="0" w:color="005A9B"/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MCDEM</w:t>
            </w:r>
          </w:p>
        </w:tc>
      </w:tr>
      <w:tr w:rsidR="0051037E" w:rsidRPr="0051037E" w:rsidTr="001F1BC4">
        <w:tc>
          <w:tcPr>
            <w:tcW w:w="1701" w:type="dxa"/>
            <w:vMerge w:val="restart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Lifelines Groups</w:t>
            </w:r>
          </w:p>
        </w:tc>
        <w:tc>
          <w:tcPr>
            <w:tcW w:w="6237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leading lifelines projects, in particular summarising and reporting on risks and hazards for lifeline utilities in their region</w:t>
            </w:r>
          </w:p>
        </w:tc>
        <w:tc>
          <w:tcPr>
            <w:tcW w:w="1695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facilitating engagement among lifeline utilities, and between lifeline utilities and CDEM Groups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lifeline utilities, CDEM Groups</w:t>
            </w: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encouraging and supporting lifeline utilities in identifying hazards and the associated risks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developing and promoting emergency preparedness best practice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51037E" w:rsidRPr="0051037E" w:rsidTr="001F1BC4">
        <w:trPr>
          <w:trHeight w:val="601"/>
        </w:trPr>
        <w:tc>
          <w:tcPr>
            <w:tcW w:w="1701" w:type="dxa"/>
            <w:vMerge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  <w:highlight w:val="yellow"/>
              </w:rPr>
            </w:pPr>
            <w:r w:rsidRPr="0051037E">
              <w:rPr>
                <w:rFonts w:eastAsia="Calibri" w:cs="Times New Roman"/>
                <w:sz w:val="20"/>
              </w:rPr>
              <w:t>carrying out risk reduction and readiness initiatives that involve more than one utility</w:t>
            </w:r>
          </w:p>
        </w:tc>
        <w:tc>
          <w:tcPr>
            <w:tcW w:w="1695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  <w:highlight w:val="yellow"/>
              </w:rPr>
            </w:pPr>
          </w:p>
        </w:tc>
      </w:tr>
      <w:tr w:rsidR="0051037E" w:rsidRPr="0051037E" w:rsidTr="001F1BC4">
        <w:tc>
          <w:tcPr>
            <w:tcW w:w="1701" w:type="dxa"/>
            <w:vMerge w:val="restart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CDEM Groups </w:t>
            </w:r>
          </w:p>
        </w:tc>
        <w:tc>
          <w:tcPr>
            <w:tcW w:w="6237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appointing regional LUCs </w:t>
            </w:r>
          </w:p>
        </w:tc>
        <w:tc>
          <w:tcPr>
            <w:tcW w:w="1695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promoting coordinated arrangements for response and recovery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coordinating CDEM planning and readiness across lifeline utilities, lifeline utility sectors, and other agencies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lifeline utilities, Lifelines Groups</w:t>
            </w: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supporting Lifelines Groups engagement with lifeline utilities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Lifelines Groups</w:t>
            </w: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setting regional strategic priorities and goals, and incorporating these consistently into local and regional planning 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Lifelines Groups and Sectors</w:t>
            </w: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developing, maintaining, and exercising coordination processes for regional responses to emergencies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regional lifeline utilities/ LUC</w:t>
            </w:r>
          </w:p>
        </w:tc>
      </w:tr>
      <w:tr w:rsidR="0051037E" w:rsidRPr="0051037E" w:rsidTr="001F1BC4">
        <w:tc>
          <w:tcPr>
            <w:tcW w:w="1701" w:type="dxa"/>
            <w:vMerge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ensuring ECC facilities will be available for the LUC during response (including communications), and maintaining emergency contact lists</w:t>
            </w:r>
          </w:p>
        </w:tc>
        <w:tc>
          <w:tcPr>
            <w:tcW w:w="1695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</w:tbl>
    <w:p w:rsidR="0051037E" w:rsidRPr="0051037E" w:rsidRDefault="0051037E" w:rsidP="0051037E">
      <w:pPr>
        <w:spacing w:before="120" w:after="120" w:line="271" w:lineRule="auto"/>
        <w:rPr>
          <w:rFonts w:eastAsia="Calibri" w:cs="Times New Roman"/>
          <w:sz w:val="20"/>
        </w:rPr>
      </w:pPr>
      <w:r w:rsidRPr="0051037E">
        <w:rPr>
          <w:rFonts w:eastAsia="Calibri" w:cs="Times New Roman"/>
          <w:sz w:val="20"/>
        </w:rPr>
        <w:br w:type="page"/>
      </w:r>
    </w:p>
    <w:p w:rsidR="0051037E" w:rsidRPr="0051037E" w:rsidRDefault="0051037E" w:rsidP="0051037E">
      <w:pPr>
        <w:spacing w:after="0" w:line="240" w:lineRule="auto"/>
        <w:rPr>
          <w:rFonts w:eastAsia="Calibri" w:cs="Times New Roman"/>
          <w:sz w:val="16"/>
        </w:rPr>
      </w:pPr>
    </w:p>
    <w:tbl>
      <w:tblPr>
        <w:tblW w:w="9633" w:type="dxa"/>
        <w:tblInd w:w="108" w:type="dxa"/>
        <w:tblBorders>
          <w:top w:val="single" w:sz="12" w:space="0" w:color="005A9B"/>
          <w:left w:val="single" w:sz="12" w:space="0" w:color="005A9B"/>
          <w:bottom w:val="single" w:sz="12" w:space="0" w:color="005A9B"/>
          <w:right w:val="single" w:sz="12" w:space="0" w:color="005A9B"/>
          <w:insideH w:val="single" w:sz="6" w:space="0" w:color="005A9B"/>
          <w:insideV w:val="single" w:sz="6" w:space="0" w:color="005A9B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237"/>
        <w:gridCol w:w="1695"/>
      </w:tblGrid>
      <w:tr w:rsidR="0051037E" w:rsidRPr="0051037E" w:rsidTr="001F1BC4">
        <w:trPr>
          <w:tblHeader/>
        </w:trPr>
        <w:tc>
          <w:tcPr>
            <w:tcW w:w="1701" w:type="dxa"/>
            <w:tcBorders>
              <w:top w:val="single" w:sz="12" w:space="0" w:color="005A9B"/>
              <w:right w:val="single" w:sz="6" w:space="0" w:color="FFFFFF"/>
            </w:tcBorders>
            <w:shd w:val="clear" w:color="auto" w:fill="005A9B"/>
          </w:tcPr>
          <w:p w:rsidR="0051037E" w:rsidRPr="0051037E" w:rsidRDefault="0051037E" w:rsidP="0051037E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51037E">
              <w:rPr>
                <w:rFonts w:eastAsia="Calibri" w:cs="Times New Roman"/>
                <w:b/>
                <w:color w:val="FFFFFF"/>
                <w:sz w:val="20"/>
              </w:rPr>
              <w:t>Organisation</w:t>
            </w:r>
          </w:p>
        </w:tc>
        <w:tc>
          <w:tcPr>
            <w:tcW w:w="6237" w:type="dxa"/>
            <w:tcBorders>
              <w:top w:val="single" w:sz="12" w:space="0" w:color="005A9B"/>
              <w:left w:val="single" w:sz="6" w:space="0" w:color="FFFFFF"/>
              <w:right w:val="single" w:sz="6" w:space="0" w:color="FFFFFF"/>
            </w:tcBorders>
            <w:shd w:val="clear" w:color="auto" w:fill="005A9B"/>
          </w:tcPr>
          <w:p w:rsidR="0051037E" w:rsidRPr="0051037E" w:rsidRDefault="0051037E" w:rsidP="0051037E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51037E">
              <w:rPr>
                <w:rFonts w:eastAsia="Calibri" w:cs="Times New Roman"/>
                <w:b/>
                <w:color w:val="FFFFFF"/>
                <w:sz w:val="20"/>
              </w:rPr>
              <w:t>Responsibilities</w:t>
            </w:r>
          </w:p>
        </w:tc>
        <w:tc>
          <w:tcPr>
            <w:tcW w:w="1695" w:type="dxa"/>
            <w:tcBorders>
              <w:top w:val="single" w:sz="12" w:space="0" w:color="005A9B"/>
              <w:left w:val="single" w:sz="6" w:space="0" w:color="FFFFFF"/>
            </w:tcBorders>
            <w:shd w:val="clear" w:color="auto" w:fill="005A9B"/>
          </w:tcPr>
          <w:p w:rsidR="0051037E" w:rsidRPr="0051037E" w:rsidRDefault="0051037E" w:rsidP="0051037E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51037E">
              <w:rPr>
                <w:rFonts w:eastAsia="Calibri" w:cs="Times New Roman"/>
                <w:b/>
                <w:color w:val="FFFFFF"/>
                <w:sz w:val="20"/>
              </w:rPr>
              <w:t>Working with</w:t>
            </w:r>
          </w:p>
        </w:tc>
      </w:tr>
      <w:tr w:rsidR="0051037E" w:rsidRPr="0051037E" w:rsidTr="001F1BC4">
        <w:trPr>
          <w:trHeight w:val="612"/>
        </w:trPr>
        <w:tc>
          <w:tcPr>
            <w:tcW w:w="1701" w:type="dxa"/>
            <w:vMerge w:val="restart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LUCs </w:t>
            </w:r>
          </w:p>
        </w:tc>
        <w:tc>
          <w:tcPr>
            <w:tcW w:w="6237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developing relationships with GEMO/ECC and EMO/EOC personnel </w:t>
            </w:r>
          </w:p>
        </w:tc>
        <w:tc>
          <w:tcPr>
            <w:tcW w:w="1695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council CDEM personnel</w:t>
            </w: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developing relationships with relevant sector coordinating entities 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SCEs</w:t>
            </w:r>
          </w:p>
        </w:tc>
      </w:tr>
      <w:tr w:rsidR="0051037E" w:rsidRPr="0051037E" w:rsidTr="001F1BC4">
        <w:tc>
          <w:tcPr>
            <w:tcW w:w="1701" w:type="dxa"/>
            <w:vMerge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participating in CDEM exercises and training for LUCs</w:t>
            </w:r>
          </w:p>
        </w:tc>
        <w:tc>
          <w:tcPr>
            <w:tcW w:w="1695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CDEM Groups/MCDEM</w:t>
            </w:r>
          </w:p>
        </w:tc>
      </w:tr>
      <w:tr w:rsidR="0051037E" w:rsidRPr="0051037E" w:rsidTr="001F1BC4">
        <w:tc>
          <w:tcPr>
            <w:tcW w:w="1701" w:type="dxa"/>
            <w:vMerge w:val="restart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SCEs</w:t>
            </w:r>
          </w:p>
        </w:tc>
        <w:tc>
          <w:tcPr>
            <w:tcW w:w="6237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carrying out the same requirements as those for clusters as described in </w:t>
            </w:r>
            <w:r w:rsidRPr="0051037E">
              <w:rPr>
                <w:rFonts w:eastAsia="Calibri" w:cs="Times New Roman"/>
                <w:i/>
                <w:sz w:val="20"/>
              </w:rPr>
              <w:t>the National CDEM Plan</w:t>
            </w:r>
            <w:r w:rsidRPr="0051037E">
              <w:rPr>
                <w:rFonts w:eastAsia="Calibri" w:cs="Times New Roman"/>
                <w:sz w:val="20"/>
              </w:rPr>
              <w:t xml:space="preserve">, and </w:t>
            </w:r>
            <w:r w:rsidRPr="0051037E">
              <w:rPr>
                <w:rFonts w:eastAsia="Calibri" w:cs="Times New Roman"/>
                <w:i/>
                <w:sz w:val="20"/>
              </w:rPr>
              <w:t>the Guide to the National CDEM Plan</w:t>
            </w:r>
          </w:p>
        </w:tc>
        <w:tc>
          <w:tcPr>
            <w:tcW w:w="1695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51037E" w:rsidRPr="0051037E" w:rsidTr="001F1BC4">
        <w:tc>
          <w:tcPr>
            <w:tcW w:w="1701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participating in national and regional exercise and planning activities </w:t>
            </w:r>
          </w:p>
        </w:tc>
        <w:tc>
          <w:tcPr>
            <w:tcW w:w="16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CDEM Groups and MCDEM</w:t>
            </w:r>
          </w:p>
        </w:tc>
      </w:tr>
      <w:tr w:rsidR="0051037E" w:rsidRPr="0051037E" w:rsidTr="001F1BC4">
        <w:tc>
          <w:tcPr>
            <w:tcW w:w="1701" w:type="dxa"/>
            <w:vMerge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237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developing relationships with relevant lifeline utilities coordinators </w:t>
            </w:r>
          </w:p>
        </w:tc>
        <w:tc>
          <w:tcPr>
            <w:tcW w:w="1695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LUCs</w:t>
            </w:r>
          </w:p>
        </w:tc>
      </w:tr>
    </w:tbl>
    <w:p w:rsidR="0051037E" w:rsidRPr="0051037E" w:rsidRDefault="0051037E" w:rsidP="0051037E">
      <w:pPr>
        <w:numPr>
          <w:ilvl w:val="6"/>
          <w:numId w:val="0"/>
        </w:numPr>
        <w:pBdr>
          <w:bottom w:val="single" w:sz="6" w:space="1" w:color="AFAFAF"/>
        </w:pBdr>
        <w:spacing w:before="200" w:after="40" w:line="240" w:lineRule="auto"/>
        <w:outlineLvl w:val="6"/>
        <w:rPr>
          <w:rFonts w:ascii="Arial Narrow" w:eastAsia="Calibri" w:hAnsi="Arial Narrow" w:cs="Times New Roman"/>
          <w:b/>
          <w:color w:val="005A9B"/>
          <w:sz w:val="32"/>
        </w:rPr>
      </w:pPr>
      <w:bookmarkStart w:id="6" w:name="_Toc374082123"/>
      <w:r w:rsidRPr="0051037E">
        <w:rPr>
          <w:rFonts w:ascii="Arial Narrow" w:eastAsia="Calibri" w:hAnsi="Arial Narrow" w:cs="Times New Roman"/>
          <w:b/>
          <w:color w:val="005A9B"/>
          <w:sz w:val="32"/>
        </w:rPr>
        <w:t>Response and recovery</w:t>
      </w:r>
      <w:bookmarkEnd w:id="6"/>
    </w:p>
    <w:tbl>
      <w:tblPr>
        <w:tblW w:w="9633" w:type="dxa"/>
        <w:tblInd w:w="108" w:type="dxa"/>
        <w:tblBorders>
          <w:top w:val="single" w:sz="12" w:space="0" w:color="005A9B"/>
          <w:left w:val="single" w:sz="12" w:space="0" w:color="005A9B"/>
          <w:bottom w:val="single" w:sz="12" w:space="0" w:color="005A9B"/>
          <w:right w:val="single" w:sz="12" w:space="0" w:color="005A9B"/>
          <w:insideH w:val="single" w:sz="6" w:space="0" w:color="005A9B"/>
          <w:insideV w:val="single" w:sz="6" w:space="0" w:color="005A9B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95"/>
        <w:gridCol w:w="1978"/>
      </w:tblGrid>
      <w:tr w:rsidR="0051037E" w:rsidRPr="0051037E" w:rsidTr="001F1BC4">
        <w:trPr>
          <w:tblHeader/>
        </w:trPr>
        <w:tc>
          <w:tcPr>
            <w:tcW w:w="1560" w:type="dxa"/>
            <w:tcBorders>
              <w:top w:val="single" w:sz="12" w:space="0" w:color="005A9B"/>
              <w:right w:val="single" w:sz="6" w:space="0" w:color="FFFFFF"/>
            </w:tcBorders>
            <w:shd w:val="clear" w:color="auto" w:fill="005A9B"/>
          </w:tcPr>
          <w:p w:rsidR="0051037E" w:rsidRPr="0051037E" w:rsidRDefault="0051037E" w:rsidP="0051037E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  <w:szCs w:val="20"/>
              </w:rPr>
            </w:pPr>
            <w:r w:rsidRPr="0051037E">
              <w:rPr>
                <w:rFonts w:eastAsia="Calibri" w:cs="Times New Roman"/>
                <w:b/>
                <w:color w:val="FFFFFF"/>
                <w:sz w:val="20"/>
                <w:szCs w:val="20"/>
              </w:rPr>
              <w:t>Organisation</w:t>
            </w:r>
          </w:p>
        </w:tc>
        <w:tc>
          <w:tcPr>
            <w:tcW w:w="6095" w:type="dxa"/>
            <w:tcBorders>
              <w:top w:val="single" w:sz="12" w:space="0" w:color="005A9B"/>
              <w:left w:val="single" w:sz="6" w:space="0" w:color="FFFFFF"/>
              <w:right w:val="single" w:sz="6" w:space="0" w:color="FFFFFF"/>
            </w:tcBorders>
            <w:shd w:val="clear" w:color="auto" w:fill="005A9B"/>
          </w:tcPr>
          <w:p w:rsidR="0051037E" w:rsidRPr="0051037E" w:rsidRDefault="0051037E" w:rsidP="0051037E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51037E">
              <w:rPr>
                <w:rFonts w:eastAsia="Calibri" w:cs="Times New Roman"/>
                <w:b/>
                <w:color w:val="FFFFFF"/>
                <w:sz w:val="20"/>
              </w:rPr>
              <w:t>Responsibilities</w:t>
            </w:r>
          </w:p>
        </w:tc>
        <w:tc>
          <w:tcPr>
            <w:tcW w:w="1978" w:type="dxa"/>
            <w:tcBorders>
              <w:top w:val="single" w:sz="12" w:space="0" w:color="005A9B"/>
              <w:left w:val="single" w:sz="6" w:space="0" w:color="FFFFFF"/>
            </w:tcBorders>
            <w:shd w:val="clear" w:color="auto" w:fill="005A9B"/>
          </w:tcPr>
          <w:p w:rsidR="0051037E" w:rsidRPr="0051037E" w:rsidRDefault="0051037E" w:rsidP="0051037E">
            <w:pPr>
              <w:spacing w:before="60" w:after="60" w:line="271" w:lineRule="auto"/>
              <w:rPr>
                <w:rFonts w:eastAsia="Calibri" w:cs="Times New Roman"/>
                <w:b/>
                <w:color w:val="FFFFFF"/>
                <w:sz w:val="20"/>
              </w:rPr>
            </w:pPr>
            <w:r w:rsidRPr="0051037E">
              <w:rPr>
                <w:rFonts w:eastAsia="Calibri" w:cs="Times New Roman"/>
                <w:b/>
                <w:color w:val="FFFFFF"/>
                <w:sz w:val="20"/>
              </w:rPr>
              <w:t>Working with</w:t>
            </w:r>
          </w:p>
        </w:tc>
      </w:tr>
      <w:tr w:rsidR="0051037E" w:rsidRPr="0051037E" w:rsidTr="001F1BC4">
        <w:tc>
          <w:tcPr>
            <w:tcW w:w="1560" w:type="dxa"/>
            <w:vMerge w:val="restart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All lifeline utilities </w:t>
            </w:r>
          </w:p>
        </w:tc>
        <w:tc>
          <w:tcPr>
            <w:tcW w:w="60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activate emergency management and/or business continuity plan</w:t>
            </w:r>
          </w:p>
        </w:tc>
        <w:tc>
          <w:tcPr>
            <w:tcW w:w="1978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internal</w:t>
            </w:r>
          </w:p>
        </w:tc>
      </w:tr>
      <w:tr w:rsidR="0051037E" w:rsidRPr="0051037E" w:rsidTr="001F1BC4">
        <w:tc>
          <w:tcPr>
            <w:tcW w:w="1560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0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undertake impact assessment</w:t>
            </w:r>
          </w:p>
        </w:tc>
        <w:tc>
          <w:tcPr>
            <w:tcW w:w="1978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Internal</w:t>
            </w:r>
          </w:p>
        </w:tc>
      </w:tr>
      <w:tr w:rsidR="0051037E" w:rsidRPr="0051037E" w:rsidTr="001F1BC4">
        <w:tc>
          <w:tcPr>
            <w:tcW w:w="1560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0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inform CDEM EOC/ECC/NCMC of:</w:t>
            </w:r>
          </w:p>
          <w:p w:rsidR="0051037E" w:rsidRPr="0051037E" w:rsidRDefault="0051037E" w:rsidP="0051037E">
            <w:pPr>
              <w:spacing w:before="40" w:after="40" w:line="271" w:lineRule="auto"/>
              <w:ind w:left="357" w:hanging="357"/>
              <w:rPr>
                <w:rFonts w:eastAsia="Calibri" w:cs="Times New Roman"/>
                <w:sz w:val="20"/>
                <w:szCs w:val="20"/>
              </w:rPr>
            </w:pPr>
            <w:r w:rsidRPr="0051037E">
              <w:rPr>
                <w:rFonts w:eastAsia="Calibri" w:cs="Times New Roman"/>
                <w:sz w:val="20"/>
                <w:szCs w:val="20"/>
              </w:rPr>
              <w:t>operation status</w:t>
            </w:r>
          </w:p>
          <w:p w:rsidR="0051037E" w:rsidRPr="0051037E" w:rsidRDefault="0051037E" w:rsidP="0051037E">
            <w:pPr>
              <w:spacing w:before="40" w:after="40" w:line="271" w:lineRule="auto"/>
              <w:ind w:left="357" w:hanging="357"/>
              <w:rPr>
                <w:rFonts w:eastAsia="Calibri" w:cs="Times New Roman"/>
                <w:sz w:val="20"/>
                <w:szCs w:val="20"/>
              </w:rPr>
            </w:pPr>
            <w:r w:rsidRPr="0051037E">
              <w:rPr>
                <w:rFonts w:eastAsia="Calibri" w:cs="Times New Roman"/>
                <w:sz w:val="20"/>
                <w:szCs w:val="20"/>
              </w:rPr>
              <w:t>any CDEM critical customer implications</w:t>
            </w:r>
          </w:p>
          <w:p w:rsidR="0051037E" w:rsidRPr="0051037E" w:rsidRDefault="0051037E" w:rsidP="0051037E">
            <w:pPr>
              <w:spacing w:before="40" w:after="40" w:line="271" w:lineRule="auto"/>
              <w:ind w:left="357" w:hanging="357"/>
              <w:rPr>
                <w:rFonts w:eastAsia="Calibri" w:cs="Times New Roman"/>
                <w:sz w:val="20"/>
                <w:szCs w:val="20"/>
              </w:rPr>
            </w:pPr>
            <w:r w:rsidRPr="0051037E">
              <w:rPr>
                <w:rFonts w:eastAsia="Calibri" w:cs="Times New Roman"/>
                <w:sz w:val="20"/>
                <w:szCs w:val="20"/>
              </w:rPr>
              <w:t>service restoration projections</w:t>
            </w:r>
          </w:p>
          <w:p w:rsidR="0051037E" w:rsidRPr="0051037E" w:rsidRDefault="0051037E" w:rsidP="0051037E">
            <w:pPr>
              <w:spacing w:before="40" w:after="40" w:line="271" w:lineRule="auto"/>
              <w:ind w:left="357" w:hanging="357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  <w:szCs w:val="20"/>
              </w:rPr>
              <w:t>any resource requirements necessary to restore service that cannot be met by the lifeline utility</w:t>
            </w:r>
          </w:p>
        </w:tc>
        <w:tc>
          <w:tcPr>
            <w:tcW w:w="1978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internal, CDEM EOC/ECC/NCMC</w:t>
            </w:r>
          </w:p>
        </w:tc>
      </w:tr>
      <w:tr w:rsidR="0051037E" w:rsidRPr="0051037E" w:rsidTr="001F1BC4">
        <w:tc>
          <w:tcPr>
            <w:tcW w:w="1560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0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remain available to CDEM EOC/ECC/NCMC (through the LUC or appropriate officer)</w:t>
            </w:r>
          </w:p>
        </w:tc>
        <w:tc>
          <w:tcPr>
            <w:tcW w:w="1978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internal, CDEM EOC/ECC/NCMC</w:t>
            </w:r>
          </w:p>
        </w:tc>
      </w:tr>
      <w:tr w:rsidR="0051037E" w:rsidRPr="0051037E" w:rsidTr="001F1BC4">
        <w:tc>
          <w:tcPr>
            <w:tcW w:w="1560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0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participate in sector coordination activities as appropriate</w:t>
            </w:r>
          </w:p>
        </w:tc>
        <w:tc>
          <w:tcPr>
            <w:tcW w:w="1978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other lifeline utilities</w:t>
            </w:r>
          </w:p>
        </w:tc>
      </w:tr>
      <w:tr w:rsidR="0051037E" w:rsidRPr="0051037E" w:rsidTr="001F1BC4">
        <w:tc>
          <w:tcPr>
            <w:tcW w:w="1560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SCEs</w:t>
            </w:r>
          </w:p>
        </w:tc>
        <w:tc>
          <w:tcPr>
            <w:tcW w:w="6095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activate sector coordinating entities (SCE) arrangements if appropriate (referencing SCE SOPs), and notify the ECC/NCMC</w:t>
            </w:r>
          </w:p>
        </w:tc>
        <w:tc>
          <w:tcPr>
            <w:tcW w:w="1978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other lifeline utilities</w:t>
            </w:r>
          </w:p>
        </w:tc>
      </w:tr>
      <w:tr w:rsidR="0051037E" w:rsidRPr="0051037E" w:rsidTr="001F1BC4">
        <w:tc>
          <w:tcPr>
            <w:tcW w:w="1560" w:type="dxa"/>
            <w:vMerge w:val="restart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CDEM Groups </w:t>
            </w:r>
          </w:p>
        </w:tc>
        <w:tc>
          <w:tcPr>
            <w:tcW w:w="6095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activate regional LUCs as appropriate</w:t>
            </w:r>
          </w:p>
        </w:tc>
        <w:tc>
          <w:tcPr>
            <w:tcW w:w="1978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internal</w:t>
            </w:r>
          </w:p>
        </w:tc>
      </w:tr>
      <w:tr w:rsidR="0051037E" w:rsidRPr="0051037E" w:rsidTr="001F1BC4">
        <w:tc>
          <w:tcPr>
            <w:tcW w:w="1560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0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carry out all LUC functions described under LUCs (below), via LUC role if activated</w:t>
            </w:r>
          </w:p>
        </w:tc>
        <w:tc>
          <w:tcPr>
            <w:tcW w:w="1978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lifeline utilities</w:t>
            </w:r>
          </w:p>
        </w:tc>
      </w:tr>
      <w:tr w:rsidR="0051037E" w:rsidRPr="0051037E" w:rsidTr="001F1BC4">
        <w:tc>
          <w:tcPr>
            <w:tcW w:w="1560" w:type="dxa"/>
            <w:vMerge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095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providing facilities for the LUC team during response (including communications and information management)</w:t>
            </w:r>
          </w:p>
        </w:tc>
        <w:tc>
          <w:tcPr>
            <w:tcW w:w="1978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</w:tr>
      <w:tr w:rsidR="0051037E" w:rsidRPr="0051037E" w:rsidTr="001F1BC4">
        <w:trPr>
          <w:trHeight w:val="612"/>
        </w:trPr>
        <w:tc>
          <w:tcPr>
            <w:tcW w:w="1560" w:type="dxa"/>
            <w:vMerge w:val="restart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 xml:space="preserve">LUCs </w:t>
            </w:r>
          </w:p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(carried out by other ECC personnel if LUC role is not activated)</w:t>
            </w:r>
          </w:p>
        </w:tc>
        <w:tc>
          <w:tcPr>
            <w:tcW w:w="6095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coordinate CDEM planning and response across utilities, sectors, and other agencies</w:t>
            </w:r>
          </w:p>
        </w:tc>
        <w:tc>
          <w:tcPr>
            <w:tcW w:w="1978" w:type="dxa"/>
            <w:tcBorders>
              <w:top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other CDEM personnel, lifeline utilities</w:t>
            </w:r>
          </w:p>
        </w:tc>
      </w:tr>
      <w:tr w:rsidR="0051037E" w:rsidRPr="0051037E" w:rsidTr="001F1BC4">
        <w:tc>
          <w:tcPr>
            <w:tcW w:w="1560" w:type="dxa"/>
            <w:vMerge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095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roster lifelines coordination and support human resource as appropriate</w:t>
            </w:r>
          </w:p>
        </w:tc>
        <w:tc>
          <w:tcPr>
            <w:tcW w:w="1978" w:type="dxa"/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other CDEM and lifeline utility personnel</w:t>
            </w:r>
          </w:p>
        </w:tc>
      </w:tr>
      <w:tr w:rsidR="0051037E" w:rsidRPr="0051037E" w:rsidTr="001F1BC4">
        <w:tc>
          <w:tcPr>
            <w:tcW w:w="1560" w:type="dxa"/>
            <w:vMerge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</w:p>
        </w:tc>
        <w:tc>
          <w:tcPr>
            <w:tcW w:w="6095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provide regular lifeline utilities updates to Intelligence, Operations manager, the Controller, and lifeline utilities as appropriate</w:t>
            </w:r>
          </w:p>
        </w:tc>
        <w:tc>
          <w:tcPr>
            <w:tcW w:w="1978" w:type="dxa"/>
            <w:tcBorders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other CDEM personnel, lifeline utilities</w:t>
            </w:r>
          </w:p>
        </w:tc>
      </w:tr>
      <w:tr w:rsidR="0051037E" w:rsidRPr="0051037E" w:rsidTr="001F1BC4">
        <w:trPr>
          <w:trHeight w:val="612"/>
        </w:trPr>
        <w:tc>
          <w:tcPr>
            <w:tcW w:w="1560" w:type="dxa"/>
            <w:tcBorders>
              <w:top w:val="single" w:sz="12" w:space="0" w:color="005A9B"/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MCDEM</w:t>
            </w:r>
          </w:p>
        </w:tc>
        <w:tc>
          <w:tcPr>
            <w:tcW w:w="6095" w:type="dxa"/>
            <w:tcBorders>
              <w:top w:val="single" w:sz="12" w:space="0" w:color="005A9B"/>
              <w:bottom w:val="single" w:sz="12" w:space="0" w:color="005A9B"/>
            </w:tcBorders>
          </w:tcPr>
          <w:p w:rsidR="0051037E" w:rsidRPr="0051037E" w:rsidRDefault="0051037E" w:rsidP="0051037E">
            <w:pPr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manage processes to coordinate across sectors at a national level</w:t>
            </w:r>
          </w:p>
        </w:tc>
        <w:tc>
          <w:tcPr>
            <w:tcW w:w="1978" w:type="dxa"/>
            <w:tcBorders>
              <w:top w:val="single" w:sz="12" w:space="0" w:color="005A9B"/>
              <w:bottom w:val="single" w:sz="12" w:space="0" w:color="005A9B"/>
            </w:tcBorders>
          </w:tcPr>
          <w:p w:rsidR="0051037E" w:rsidRPr="0051037E" w:rsidRDefault="0051037E" w:rsidP="0051037E">
            <w:pPr>
              <w:keepNext/>
              <w:spacing w:before="40" w:after="40" w:line="271" w:lineRule="auto"/>
              <w:rPr>
                <w:rFonts w:eastAsia="Calibri" w:cs="Times New Roman"/>
                <w:sz w:val="20"/>
              </w:rPr>
            </w:pPr>
            <w:r w:rsidRPr="0051037E">
              <w:rPr>
                <w:rFonts w:eastAsia="Calibri" w:cs="Times New Roman"/>
                <w:sz w:val="20"/>
              </w:rPr>
              <w:t>national lifeline utilities, SCEs, and NCMC LUCs</w:t>
            </w:r>
          </w:p>
        </w:tc>
      </w:tr>
    </w:tbl>
    <w:p w:rsidR="007901B4" w:rsidRPr="0051037E" w:rsidRDefault="007901B4" w:rsidP="0051037E">
      <w:pPr>
        <w:spacing w:after="0" w:line="240" w:lineRule="auto"/>
        <w:rPr>
          <w:rFonts w:eastAsia="Calibri" w:cs="Times New Roman"/>
          <w:sz w:val="8"/>
        </w:rPr>
      </w:pPr>
      <w:bookmarkStart w:id="7" w:name="_GoBack"/>
      <w:bookmarkEnd w:id="7"/>
    </w:p>
    <w:sectPr w:rsidR="007901B4" w:rsidRPr="0051037E" w:rsidSect="0051037E">
      <w:pgSz w:w="11906" w:h="16838"/>
      <w:pgMar w:top="1021" w:right="102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7E"/>
    <w:rsid w:val="0051037E"/>
    <w:rsid w:val="007901B4"/>
    <w:rsid w:val="007D6AD6"/>
    <w:rsid w:val="00A4349D"/>
    <w:rsid w:val="00D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D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AD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AD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49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A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A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A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A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A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A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AD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AD6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349D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A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A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A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A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A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A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6A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6A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AD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AD6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6AD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D6AD6"/>
    <w:rPr>
      <w:b/>
      <w:bCs/>
    </w:rPr>
  </w:style>
  <w:style w:type="character" w:styleId="Emphasis">
    <w:name w:val="Emphasis"/>
    <w:basedOn w:val="DefaultParagraphFont"/>
    <w:uiPriority w:val="20"/>
    <w:qFormat/>
    <w:rsid w:val="007D6AD6"/>
    <w:rPr>
      <w:i/>
      <w:iCs/>
    </w:rPr>
  </w:style>
  <w:style w:type="paragraph" w:styleId="NoSpacing">
    <w:name w:val="No Spacing"/>
    <w:link w:val="NoSpacingChar"/>
    <w:uiPriority w:val="1"/>
    <w:qFormat/>
    <w:rsid w:val="007D6AD6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D6AD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D6A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6AD6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6AD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AD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AD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D6AD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D6AD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D6AD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D6AD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D6AD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6AD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AD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AD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AD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49D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A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A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A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A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A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A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AD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AD6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349D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A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A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A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A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A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A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6A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6A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6AD6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AD6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6AD6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D6AD6"/>
    <w:rPr>
      <w:b/>
      <w:bCs/>
    </w:rPr>
  </w:style>
  <w:style w:type="character" w:styleId="Emphasis">
    <w:name w:val="Emphasis"/>
    <w:basedOn w:val="DefaultParagraphFont"/>
    <w:uiPriority w:val="20"/>
    <w:qFormat/>
    <w:rsid w:val="007D6AD6"/>
    <w:rPr>
      <w:i/>
      <w:iCs/>
    </w:rPr>
  </w:style>
  <w:style w:type="paragraph" w:styleId="NoSpacing">
    <w:name w:val="No Spacing"/>
    <w:link w:val="NoSpacingChar"/>
    <w:uiPriority w:val="1"/>
    <w:qFormat/>
    <w:rsid w:val="007D6AD6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D6AD6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D6A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6AD6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6AD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AD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AD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D6AD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D6AD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D6AD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D6AD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D6AD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6A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2014-06-22T21:29:00Z</dcterms:created>
  <dcterms:modified xsi:type="dcterms:W3CDTF">2014-06-22T21:34:00Z</dcterms:modified>
</cp:coreProperties>
</file>