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B" w:rsidRDefault="000C2523" w:rsidP="007200A6">
      <w:pPr>
        <w:pStyle w:val="StyleLatinArialNarrow20ptBoldBackground2Before0p"/>
        <w:rPr>
          <w:rFonts w:eastAsiaTheme="majorEastAsia"/>
        </w:rPr>
      </w:pPr>
      <w:bookmarkStart w:id="0" w:name="_GoBack"/>
      <w:bookmarkEnd w:id="0"/>
      <w:r>
        <w:rPr>
          <w:rFonts w:eastAsiaTheme="majorEastAsia"/>
        </w:rPr>
        <w:t>CDC Supervisor’s checklist</w:t>
      </w:r>
    </w:p>
    <w:p w:rsidR="000C2523" w:rsidRPr="00FF23D1" w:rsidRDefault="000C2523" w:rsidP="000C2523">
      <w:pPr>
        <w:spacing w:before="20" w:after="20" w:line="240" w:lineRule="auto"/>
        <w:rPr>
          <w:color w:val="9B2703" w:themeColor="accent2"/>
          <w:sz w:val="20"/>
        </w:rPr>
      </w:pPr>
      <w:r w:rsidRPr="00FF23D1">
        <w:rPr>
          <w:color w:val="9B2703" w:themeColor="accent2"/>
          <w:sz w:val="20"/>
        </w:rPr>
        <w:t>This template is intended as a prompt only.  It includes elements that all CDEM Groups must consider, but may be customised according to CDEM Group size, structure, and resources.</w:t>
      </w:r>
      <w:r w:rsidR="00810F7D">
        <w:rPr>
          <w:color w:val="9B2703" w:themeColor="accent2"/>
          <w:sz w:val="20"/>
        </w:rPr>
        <w:t xml:space="preserve"> Brown text can be deleted. </w:t>
      </w:r>
    </w:p>
    <w:p w:rsidR="000C2523" w:rsidRDefault="000C2523" w:rsidP="000C2523"/>
    <w:p w:rsidR="000C2523" w:rsidRPr="000D4AB2" w:rsidRDefault="000C2523" w:rsidP="000C2523">
      <w:r w:rsidRPr="000D4AB2">
        <w:t xml:space="preserve">These tasks are performed by the CDC Supervisor, who activates, manages, and closes a CDC in consultation with coordination centre personnel, including the Group or Local Welfare Manager. For large responses, or at larger </w:t>
      </w:r>
      <w:proofErr w:type="spellStart"/>
      <w:r w:rsidRPr="000D4AB2">
        <w:t>CDCs</w:t>
      </w:r>
      <w:proofErr w:type="spellEnd"/>
      <w:r w:rsidRPr="000D4AB2">
        <w:t>, the role of CDC Supervisor may be performed by more than one person. Alternatively, a CDC Supervisor may appoint Assistant CDC Supervisors, and delegate specific tasks to them.</w:t>
      </w:r>
    </w:p>
    <w:tbl>
      <w:tblPr>
        <w:tblStyle w:val="TableGrid"/>
        <w:tblW w:w="4945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8647"/>
        <w:gridCol w:w="986"/>
      </w:tblGrid>
      <w:tr w:rsidR="000C2523" w:rsidRPr="000D4AB2" w:rsidTr="00752715">
        <w:trPr>
          <w:cantSplit/>
          <w:tblHeader/>
        </w:trPr>
        <w:tc>
          <w:tcPr>
            <w:tcW w:w="4488" w:type="pct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0C2523" w:rsidRPr="000D4AB2" w:rsidRDefault="000C2523" w:rsidP="00752715">
            <w:pPr>
              <w:pStyle w:val="Tableheading"/>
              <w:rPr>
                <w:lang w:eastAsia="en-NZ"/>
              </w:rPr>
            </w:pPr>
            <w:r w:rsidRPr="000D4AB2">
              <w:rPr>
                <w:lang w:eastAsia="en-NZ"/>
              </w:rPr>
              <w:t>Activation tasks</w:t>
            </w:r>
          </w:p>
        </w:tc>
        <w:tc>
          <w:tcPr>
            <w:tcW w:w="512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  <w:vAlign w:val="bottom"/>
          </w:tcPr>
          <w:p w:rsidR="000C2523" w:rsidRPr="000D4AB2" w:rsidRDefault="000C2523" w:rsidP="00752715">
            <w:pPr>
              <w:pStyle w:val="Tableheading"/>
              <w:jc w:val="center"/>
              <w:rPr>
                <w:rFonts w:ascii="Webdings" w:hAnsi="Webdings"/>
                <w:lang w:eastAsia="en-NZ"/>
              </w:rPr>
            </w:pPr>
            <w:r w:rsidRPr="000D4AB2">
              <w:rPr>
                <w:rFonts w:ascii="Webdings" w:hAnsi="Webdings"/>
                <w:lang w:eastAsia="en-NZ"/>
              </w:rPr>
              <w:t></w:t>
            </w: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 xml:space="preserve">Liaise with the owner/operator of the facility to ensure that the building is safe, and that all utilities are switched on and operational. 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Activate CDC staff, providing them with an initial situation overview and relevant access information for the CDC facility.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 xml:space="preserve">Activate and/or brief security personnel, as required. 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Brief staff as they arrive, including any health and safety procedures.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Provide staff with initial resources, including ID badges or vests.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Establish the CDC layout according to plans and available resources.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Allocate staff to set up designated areas according to plans and the directions of the Controller, which may include: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a meet-and-greet area (attended by CDC staff who can direct people to the right areas)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public information area (set up and managed under the direction of the PIM team)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volunteer coordination (set up and managed under the direction of the Volunteer Coordination or Operations team)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catering areas (set up and managed by the Logistics team, or a team from another agency or organisation)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the welfare services sub-functions (set up under the direction of the Group or Local Welfare Manager, and representatives of the agencies responsible for each sub-function)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Ensure that each area has appropriate and accessible signage.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Ensure that communications systems and equipment are set up and operational.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Advise the Group or Local Welfare Manager that the CDC is operational, and provide an initial situation report.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Advise the Local Welfare Manager of any resourcing or staffing shortfalls.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Liaise with additional CDC staff as they arrive, as well as representatives of other welfare services agencies.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</w:tbl>
    <w:p w:rsidR="000C2523" w:rsidRDefault="000C2523" w:rsidP="000C2523"/>
    <w:p w:rsidR="000C2523" w:rsidRDefault="000C2523">
      <w:pPr>
        <w:spacing w:before="0" w:after="0" w:line="240" w:lineRule="auto"/>
      </w:pPr>
      <w:r>
        <w:br w:type="page"/>
      </w:r>
    </w:p>
    <w:p w:rsidR="000C2523" w:rsidRDefault="000C2523" w:rsidP="000C2523"/>
    <w:tbl>
      <w:tblPr>
        <w:tblStyle w:val="TableGrid"/>
        <w:tblW w:w="4945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8647"/>
        <w:gridCol w:w="986"/>
      </w:tblGrid>
      <w:tr w:rsidR="000C2523" w:rsidRPr="000D4AB2" w:rsidTr="00752715">
        <w:trPr>
          <w:cantSplit/>
          <w:tblHeader/>
        </w:trPr>
        <w:tc>
          <w:tcPr>
            <w:tcW w:w="4488" w:type="pct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0C2523" w:rsidRPr="000D4AB2" w:rsidRDefault="000C2523" w:rsidP="00752715">
            <w:pPr>
              <w:pStyle w:val="Tableheading"/>
              <w:rPr>
                <w:lang w:eastAsia="en-NZ"/>
              </w:rPr>
            </w:pPr>
            <w:r w:rsidRPr="000D4AB2">
              <w:rPr>
                <w:lang w:eastAsia="en-NZ"/>
              </w:rPr>
              <w:t>Ongoing tasks</w:t>
            </w:r>
          </w:p>
        </w:tc>
        <w:tc>
          <w:tcPr>
            <w:tcW w:w="512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  <w:vAlign w:val="bottom"/>
          </w:tcPr>
          <w:p w:rsidR="000C2523" w:rsidRPr="000D4AB2" w:rsidRDefault="000C2523" w:rsidP="00752715">
            <w:pPr>
              <w:pStyle w:val="Tableheading"/>
              <w:jc w:val="center"/>
              <w:rPr>
                <w:rFonts w:ascii="Webdings" w:hAnsi="Webdings"/>
                <w:lang w:eastAsia="en-NZ"/>
              </w:rPr>
            </w:pPr>
            <w:r w:rsidRPr="000D4AB2">
              <w:rPr>
                <w:rFonts w:ascii="Webdings" w:hAnsi="Webdings"/>
                <w:lang w:eastAsia="en-NZ"/>
              </w:rPr>
              <w:t></w:t>
            </w: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Maintain regular contact with the Group or Local Welfare Manager.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Liaise regularly with all function and sub-function representatives that are active in the CDC.  May include: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representatives of welfare services agencies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Volunteer Coordination personnel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Members of other CIMS function teams, including PIM, Operations, or Logistics</w:t>
            </w:r>
          </w:p>
          <w:p w:rsidR="000C2523" w:rsidRPr="000D4AB2" w:rsidRDefault="000C2523" w:rsidP="000C2523">
            <w:pPr>
              <w:pStyle w:val="Tablebullet"/>
              <w:numPr>
                <w:ilvl w:val="0"/>
                <w:numId w:val="1"/>
              </w:numPr>
              <w:rPr>
                <w:lang w:eastAsia="en-NZ"/>
              </w:rPr>
            </w:pPr>
            <w:r w:rsidRPr="000D4AB2">
              <w:rPr>
                <w:lang w:eastAsia="en-NZ"/>
              </w:rPr>
              <w:t>Representatives of NGOs or community-based organisations.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Liaise with other activated CDC supervisors.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Oversee rostering, breaks, and appropriate record-keeping for CDC staff.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Ensure that CDC staff are fed (liaise with Logistics personnel).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Brief or debrief CDC staff as appropriate.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</w:tbl>
    <w:p w:rsidR="000C2523" w:rsidRPr="000D4AB2" w:rsidRDefault="000C2523" w:rsidP="000C2523">
      <w:pPr>
        <w:pStyle w:val="Spacer"/>
      </w:pPr>
    </w:p>
    <w:tbl>
      <w:tblPr>
        <w:tblStyle w:val="TableGrid"/>
        <w:tblW w:w="4945" w:type="pct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/>
      </w:tblPr>
      <w:tblGrid>
        <w:gridCol w:w="8647"/>
        <w:gridCol w:w="986"/>
      </w:tblGrid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0C2523" w:rsidRPr="000D4AB2" w:rsidRDefault="000C2523" w:rsidP="00752715">
            <w:pPr>
              <w:pStyle w:val="Tableheading"/>
              <w:rPr>
                <w:lang w:eastAsia="en-NZ"/>
              </w:rPr>
            </w:pPr>
            <w:r w:rsidRPr="000D4AB2">
              <w:rPr>
                <w:lang w:eastAsia="en-NZ"/>
              </w:rPr>
              <w:t>Final tasks</w:t>
            </w:r>
          </w:p>
        </w:tc>
        <w:tc>
          <w:tcPr>
            <w:tcW w:w="512" w:type="pct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  <w:vAlign w:val="bottom"/>
          </w:tcPr>
          <w:p w:rsidR="000C2523" w:rsidRPr="000D4AB2" w:rsidRDefault="000C2523" w:rsidP="00752715">
            <w:pPr>
              <w:pStyle w:val="Tableheading"/>
              <w:jc w:val="center"/>
              <w:rPr>
                <w:rFonts w:ascii="Webdings" w:hAnsi="Webdings"/>
                <w:lang w:eastAsia="en-NZ"/>
              </w:rPr>
            </w:pPr>
            <w:r w:rsidRPr="000D4AB2">
              <w:rPr>
                <w:rFonts w:ascii="Webdings" w:hAnsi="Webdings"/>
                <w:lang w:eastAsia="en-NZ"/>
              </w:rPr>
              <w:t></w:t>
            </w: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 xml:space="preserve">Ensure all CDC staff have been debriefed and stood down. 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Ensure all documentation and records have been collected and stored appropriately.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Ensure that resources have been returned to their original locations, or to their original owners.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  <w:tr w:rsidR="000C2523" w:rsidRPr="000D4AB2" w:rsidTr="00752715">
        <w:trPr>
          <w:cantSplit/>
        </w:trPr>
        <w:tc>
          <w:tcPr>
            <w:tcW w:w="4488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  <w:r w:rsidRPr="000D4AB2">
              <w:rPr>
                <w:lang w:eastAsia="en-NZ"/>
              </w:rPr>
              <w:t>Ensure the facility is left clean, tidy, and secure.</w:t>
            </w:r>
          </w:p>
        </w:tc>
        <w:tc>
          <w:tcPr>
            <w:tcW w:w="512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0C2523" w:rsidRPr="000D4AB2" w:rsidRDefault="000C2523" w:rsidP="00752715">
            <w:pPr>
              <w:pStyle w:val="Tablenormal0"/>
              <w:rPr>
                <w:lang w:eastAsia="en-NZ"/>
              </w:rPr>
            </w:pPr>
          </w:p>
        </w:tc>
      </w:tr>
    </w:tbl>
    <w:p w:rsidR="00003E8D" w:rsidRPr="00444F9D" w:rsidRDefault="00003E8D" w:rsidP="00444F9D"/>
    <w:sectPr w:rsidR="00003E8D" w:rsidRPr="00444F9D" w:rsidSect="007D4F54">
      <w:footerReference w:type="default" r:id="rId8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23" w:rsidRDefault="000C2523" w:rsidP="0028688E">
      <w:pPr>
        <w:spacing w:before="0" w:after="0" w:line="240" w:lineRule="auto"/>
      </w:pPr>
      <w:r>
        <w:separator/>
      </w:r>
    </w:p>
  </w:endnote>
  <w:endnote w:type="continuationSeparator" w:id="0">
    <w:p w:rsidR="000C2523" w:rsidRDefault="000C2523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8E" w:rsidRDefault="0040296E" w:rsidP="0040296E">
    <w:pPr>
      <w:pStyle w:val="MCDEMfooter"/>
      <w:tabs>
        <w:tab w:val="left" w:pos="4157"/>
      </w:tabs>
    </w:pPr>
    <w:r w:rsidRPr="0040296E">
      <w:t>CDC Supervisor’s checklist</w:t>
    </w:r>
    <w:r w:rsidR="0028688E">
      <w:tab/>
    </w:r>
    <w:r w:rsidR="00855A5B">
      <w:tab/>
    </w:r>
    <w:r w:rsidR="0028688E">
      <w:t xml:space="preserve">Page </w:t>
    </w:r>
    <w:r w:rsidR="00CB60B8">
      <w:fldChar w:fldCharType="begin"/>
    </w:r>
    <w:r w:rsidR="0028688E">
      <w:instrText xml:space="preserve"> PAGE   \* MERGEFORMAT </w:instrText>
    </w:r>
    <w:r w:rsidR="00CB60B8">
      <w:fldChar w:fldCharType="separate"/>
    </w:r>
    <w:r w:rsidR="00CC0E4D">
      <w:rPr>
        <w:noProof/>
      </w:rPr>
      <w:t>1</w:t>
    </w:r>
    <w:r w:rsidR="00CB60B8">
      <w:rPr>
        <w:noProof/>
      </w:rPr>
      <w:fldChar w:fldCharType="end"/>
    </w:r>
    <w:r w:rsidR="0028688E">
      <w:t xml:space="preserve"> of </w:t>
    </w:r>
    <w:fldSimple w:instr=" NUMPAGES   \* MERGEFORMAT ">
      <w:r w:rsidR="00CC0E4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23" w:rsidRDefault="000C2523" w:rsidP="0028688E">
      <w:pPr>
        <w:spacing w:before="0" w:after="0" w:line="240" w:lineRule="auto"/>
      </w:pPr>
      <w:r>
        <w:separator/>
      </w:r>
    </w:p>
  </w:footnote>
  <w:footnote w:type="continuationSeparator" w:id="0">
    <w:p w:rsidR="000C2523" w:rsidRDefault="000C2523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3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8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9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>
    <w:nsid w:val="2E7B63C8"/>
    <w:multiLevelType w:val="multilevel"/>
    <w:tmpl w:val="A79ED950"/>
    <w:numStyleLink w:val="MCDEMbullet"/>
  </w:abstractNum>
  <w:abstractNum w:abstractNumId="11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5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7D661627"/>
    <w:multiLevelType w:val="multilevel"/>
    <w:tmpl w:val="A79ED950"/>
    <w:numStyleLink w:val="MCDEMbullet"/>
  </w:abstractNum>
  <w:num w:numId="1">
    <w:abstractNumId w:val="9"/>
  </w:num>
  <w:num w:numId="2">
    <w:abstractNumId w:val="16"/>
  </w:num>
  <w:num w:numId="3">
    <w:abstractNumId w:val="17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9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8"/>
  </w:num>
  <w:num w:numId="20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  <w:num w:numId="25">
    <w:abstractNumId w:val="4"/>
  </w:num>
  <w:num w:numId="26">
    <w:abstractNumId w:val="11"/>
  </w:num>
  <w:num w:numId="27">
    <w:abstractNumId w:val="2"/>
  </w:num>
  <w:num w:numId="28">
    <w:abstractNumId w:val="2"/>
  </w:num>
  <w:num w:numId="29">
    <w:abstractNumId w:val="14"/>
  </w:num>
  <w:num w:numId="30">
    <w:abstractNumId w:val="3"/>
  </w:num>
  <w:num w:numId="31">
    <w:abstractNumId w:val="5"/>
  </w:num>
  <w:num w:numId="32">
    <w:abstractNumId w:val="10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C2523"/>
    <w:rsid w:val="00003E8D"/>
    <w:rsid w:val="00033DD1"/>
    <w:rsid w:val="000765B8"/>
    <w:rsid w:val="000C2523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07C93"/>
    <w:rsid w:val="00240A3D"/>
    <w:rsid w:val="002730A0"/>
    <w:rsid w:val="00282FF9"/>
    <w:rsid w:val="0028688E"/>
    <w:rsid w:val="002A2906"/>
    <w:rsid w:val="002A45AE"/>
    <w:rsid w:val="002F226D"/>
    <w:rsid w:val="002F336E"/>
    <w:rsid w:val="00343AA6"/>
    <w:rsid w:val="00381326"/>
    <w:rsid w:val="00396698"/>
    <w:rsid w:val="003E7AE6"/>
    <w:rsid w:val="003F7F35"/>
    <w:rsid w:val="0040296E"/>
    <w:rsid w:val="0043400D"/>
    <w:rsid w:val="00444F9D"/>
    <w:rsid w:val="004A088F"/>
    <w:rsid w:val="004C4DA5"/>
    <w:rsid w:val="004F4284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200A6"/>
    <w:rsid w:val="00771F8C"/>
    <w:rsid w:val="0077432C"/>
    <w:rsid w:val="007D4F54"/>
    <w:rsid w:val="007F51FB"/>
    <w:rsid w:val="00810F7D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07E93"/>
    <w:rsid w:val="00A11FE0"/>
    <w:rsid w:val="00B51752"/>
    <w:rsid w:val="00B53885"/>
    <w:rsid w:val="00BE6D4A"/>
    <w:rsid w:val="00BE7259"/>
    <w:rsid w:val="00C00F9B"/>
    <w:rsid w:val="00CB60B8"/>
    <w:rsid w:val="00CC0E4D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4449E"/>
    <w:rsid w:val="00F63216"/>
    <w:rsid w:val="00F7158B"/>
    <w:rsid w:val="00FB661F"/>
    <w:rsid w:val="00FC1189"/>
    <w:rsid w:val="00FF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200A6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F63216"/>
    <w:pPr>
      <w:numPr>
        <w:numId w:val="32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82FF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200A6"/>
    <w:rPr>
      <w:rFonts w:ascii="Arial" w:eastAsiaTheme="majorEastAsia" w:hAnsi="Arial" w:cstheme="majorBidi"/>
      <w:b/>
      <w:bCs/>
      <w:color w:val="005A9B" w:themeColor="background2"/>
      <w:sz w:val="24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atinArialNarrow20ptBoldBackground2Before0p">
    <w:name w:val="Style (Latin) Arial Narrow 20 pt Bold Background 2 Before:  0 p..."/>
    <w:basedOn w:val="Normal"/>
    <w:rsid w:val="007200A6"/>
    <w:pPr>
      <w:pBdr>
        <w:bottom w:val="single" w:sz="8" w:space="1" w:color="AFAFAF" w:themeColor="accent1"/>
      </w:pBdr>
      <w:spacing w:before="0" w:after="40" w:line="240" w:lineRule="auto"/>
    </w:pPr>
    <w:rPr>
      <w:rFonts w:ascii="Arial Narrow" w:eastAsia="Times New Roman" w:hAnsi="Arial Narrow"/>
      <w:b/>
      <w:bCs/>
      <w:color w:val="005A9B" w:themeColor="background2"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1E5F-F072-42CE-B114-5348FDA4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Jaynia Steel [CASS]</cp:lastModifiedBy>
  <cp:revision>2</cp:revision>
  <dcterms:created xsi:type="dcterms:W3CDTF">2015-10-28T22:28:00Z</dcterms:created>
  <dcterms:modified xsi:type="dcterms:W3CDTF">2015-10-28T22:28:00Z</dcterms:modified>
</cp:coreProperties>
</file>