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15"/>
      <w:bookmarkStart w:id="2" w:name="OLE_LINK16"/>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13"/>
      <w:bookmarkStart w:id="4" w:name="OLE_LINK14"/>
      <w:bookmarkStart w:id="5" w:name="OLE_LINK17"/>
      <w:bookmarkStart w:id="6" w:name="OLE_LINK18"/>
      <w:r w:rsidRPr="00B36967">
        <w:rPr>
          <w:rFonts w:ascii="Arial" w:hAnsi="Arial" w:cs="Arial"/>
          <w:sz w:val="22"/>
          <w:szCs w:val="22"/>
        </w:rPr>
        <w:t>Ministry of Civil Defence &amp; Emergency Management</w:t>
      </w:r>
      <w:bookmarkEnd w:id="3"/>
      <w:bookmarkEnd w:id="4"/>
      <w:r w:rsidRPr="00B36967">
        <w:rPr>
          <w:rFonts w:ascii="Arial" w:hAnsi="Arial" w:cs="Arial"/>
          <w:sz w:val="22"/>
          <w:szCs w:val="22"/>
        </w:rPr>
        <w:t xml:space="preserve"> </w:t>
      </w:r>
    </w:p>
    <w:bookmarkEnd w:id="5"/>
    <w:bookmarkEnd w:id="6"/>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headerReference w:type="even" r:id="rId13"/>
          <w:headerReference w:type="default" r:id="rId14"/>
          <w:footerReference w:type="even" r:id="rId15"/>
          <w:footerReference w:type="default" r:id="rId16"/>
          <w:headerReference w:type="first" r:id="rId17"/>
          <w:footerReference w:type="first" r:id="rId18"/>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653D3D" w:rsidRDefault="007651A7">
      <w:pPr>
        <w:pStyle w:val="TOC1"/>
        <w:rPr>
          <w:rFonts w:asciiTheme="minorHAnsi" w:eastAsiaTheme="minorEastAsia" w:hAnsiTheme="minorHAnsi" w:cstheme="minorBidi"/>
          <w:b w:val="0"/>
          <w:bCs w:val="0"/>
          <w:iCs w:val="0"/>
          <w:szCs w:val="22"/>
          <w:lang w:eastAsia="en-NZ"/>
        </w:rPr>
      </w:pPr>
      <w:r w:rsidRPr="007651A7">
        <w:rPr>
          <w:b w:val="0"/>
          <w:bCs w:val="0"/>
          <w:iCs w:val="0"/>
        </w:rPr>
        <w:fldChar w:fldCharType="begin"/>
      </w:r>
      <w:r w:rsidR="00226EE2">
        <w:rPr>
          <w:b w:val="0"/>
          <w:bCs w:val="0"/>
          <w:iCs w:val="0"/>
        </w:rPr>
        <w:instrText xml:space="preserve"> TOC \o "1-2" \h \z \t "Heading 3,3,Heading 6,1" </w:instrText>
      </w:r>
      <w:r w:rsidRPr="007651A7">
        <w:rPr>
          <w:b w:val="0"/>
          <w:bCs w:val="0"/>
          <w:iCs w:val="0"/>
        </w:rPr>
        <w:fldChar w:fldCharType="separate"/>
      </w:r>
      <w:hyperlink w:anchor="_Toc434475674" w:history="1">
        <w:r w:rsidR="00653D3D" w:rsidRPr="000E2A91">
          <w:rPr>
            <w:rStyle w:val="Hyperlink"/>
          </w:rPr>
          <w:t>Section 6 Registration</w:t>
        </w:r>
        <w:r w:rsidR="00653D3D">
          <w:rPr>
            <w:webHidden/>
          </w:rPr>
          <w:tab/>
        </w:r>
        <w:r>
          <w:rPr>
            <w:webHidden/>
          </w:rPr>
          <w:fldChar w:fldCharType="begin"/>
        </w:r>
        <w:r w:rsidR="00653D3D">
          <w:rPr>
            <w:webHidden/>
          </w:rPr>
          <w:instrText xml:space="preserve"> PAGEREF _Toc434475674 \h </w:instrText>
        </w:r>
        <w:r>
          <w:rPr>
            <w:webHidden/>
          </w:rPr>
        </w:r>
        <w:r>
          <w:rPr>
            <w:webHidden/>
          </w:rPr>
          <w:fldChar w:fldCharType="separate"/>
        </w:r>
        <w:r w:rsidR="00653D3D">
          <w:rPr>
            <w:webHidden/>
          </w:rPr>
          <w:t>3</w:t>
        </w:r>
        <w:r>
          <w:rPr>
            <w:webHidden/>
          </w:rPr>
          <w:fldChar w:fldCharType="end"/>
        </w:r>
      </w:hyperlink>
    </w:p>
    <w:p w:rsidR="00653D3D" w:rsidRDefault="007651A7">
      <w:pPr>
        <w:pStyle w:val="TOC2"/>
        <w:rPr>
          <w:rFonts w:asciiTheme="minorHAnsi" w:eastAsiaTheme="minorEastAsia" w:hAnsiTheme="minorHAnsi" w:cstheme="minorBidi"/>
          <w:bCs w:val="0"/>
          <w:lang w:eastAsia="en-NZ"/>
        </w:rPr>
      </w:pPr>
      <w:hyperlink w:anchor="_Toc434475675" w:history="1">
        <w:r w:rsidR="00653D3D" w:rsidRPr="000E2A91">
          <w:rPr>
            <w:rStyle w:val="Hyperlink"/>
          </w:rPr>
          <w:t>6.1 Introduction</w:t>
        </w:r>
        <w:r w:rsidR="00653D3D">
          <w:rPr>
            <w:webHidden/>
          </w:rPr>
          <w:tab/>
        </w:r>
        <w:r>
          <w:rPr>
            <w:webHidden/>
          </w:rPr>
          <w:fldChar w:fldCharType="begin"/>
        </w:r>
        <w:r w:rsidR="00653D3D">
          <w:rPr>
            <w:webHidden/>
          </w:rPr>
          <w:instrText xml:space="preserve"> PAGEREF _Toc434475675 \h </w:instrText>
        </w:r>
        <w:r>
          <w:rPr>
            <w:webHidden/>
          </w:rPr>
        </w:r>
        <w:r>
          <w:rPr>
            <w:webHidden/>
          </w:rPr>
          <w:fldChar w:fldCharType="separate"/>
        </w:r>
        <w:r w:rsidR="00653D3D">
          <w:rPr>
            <w:webHidden/>
          </w:rPr>
          <w:t>3</w:t>
        </w:r>
        <w:r>
          <w:rPr>
            <w:webHidden/>
          </w:rPr>
          <w:fldChar w:fldCharType="end"/>
        </w:r>
      </w:hyperlink>
    </w:p>
    <w:p w:rsidR="00653D3D" w:rsidRDefault="007651A7">
      <w:pPr>
        <w:pStyle w:val="TOC2"/>
        <w:rPr>
          <w:rFonts w:asciiTheme="minorHAnsi" w:eastAsiaTheme="minorEastAsia" w:hAnsiTheme="minorHAnsi" w:cstheme="minorBidi"/>
          <w:bCs w:val="0"/>
          <w:lang w:eastAsia="en-NZ"/>
        </w:rPr>
      </w:pPr>
      <w:hyperlink w:anchor="_Toc434475676" w:history="1">
        <w:r w:rsidR="00653D3D" w:rsidRPr="000E2A91">
          <w:rPr>
            <w:rStyle w:val="Hyperlink"/>
          </w:rPr>
          <w:t>6.2 Principles</w:t>
        </w:r>
        <w:r w:rsidR="00653D3D">
          <w:rPr>
            <w:webHidden/>
          </w:rPr>
          <w:tab/>
        </w:r>
        <w:r>
          <w:rPr>
            <w:webHidden/>
          </w:rPr>
          <w:fldChar w:fldCharType="begin"/>
        </w:r>
        <w:r w:rsidR="00653D3D">
          <w:rPr>
            <w:webHidden/>
          </w:rPr>
          <w:instrText xml:space="preserve"> PAGEREF _Toc434475676 \h </w:instrText>
        </w:r>
        <w:r>
          <w:rPr>
            <w:webHidden/>
          </w:rPr>
        </w:r>
        <w:r>
          <w:rPr>
            <w:webHidden/>
          </w:rPr>
          <w:fldChar w:fldCharType="separate"/>
        </w:r>
        <w:r w:rsidR="00653D3D">
          <w:rPr>
            <w:webHidden/>
          </w:rPr>
          <w:t>4</w:t>
        </w:r>
        <w:r>
          <w:rPr>
            <w:webHidden/>
          </w:rPr>
          <w:fldChar w:fldCharType="end"/>
        </w:r>
      </w:hyperlink>
    </w:p>
    <w:p w:rsidR="00653D3D" w:rsidRDefault="007651A7">
      <w:pPr>
        <w:pStyle w:val="TOC2"/>
        <w:rPr>
          <w:rFonts w:asciiTheme="minorHAnsi" w:eastAsiaTheme="minorEastAsia" w:hAnsiTheme="minorHAnsi" w:cstheme="minorBidi"/>
          <w:bCs w:val="0"/>
          <w:lang w:eastAsia="en-NZ"/>
        </w:rPr>
      </w:pPr>
      <w:hyperlink w:anchor="_Toc434475677" w:history="1">
        <w:r w:rsidR="00653D3D" w:rsidRPr="000E2A91">
          <w:rPr>
            <w:rStyle w:val="Hyperlink"/>
          </w:rPr>
          <w:t>6.3 Welfare registration process</w:t>
        </w:r>
        <w:r w:rsidR="00653D3D">
          <w:rPr>
            <w:webHidden/>
          </w:rPr>
          <w:tab/>
        </w:r>
        <w:r>
          <w:rPr>
            <w:webHidden/>
          </w:rPr>
          <w:fldChar w:fldCharType="begin"/>
        </w:r>
        <w:r w:rsidR="00653D3D">
          <w:rPr>
            <w:webHidden/>
          </w:rPr>
          <w:instrText xml:space="preserve"> PAGEREF _Toc434475677 \h </w:instrText>
        </w:r>
        <w:r>
          <w:rPr>
            <w:webHidden/>
          </w:rPr>
        </w:r>
        <w:r>
          <w:rPr>
            <w:webHidden/>
          </w:rPr>
          <w:fldChar w:fldCharType="separate"/>
        </w:r>
        <w:r w:rsidR="00653D3D">
          <w:rPr>
            <w:webHidden/>
          </w:rPr>
          <w:t>5</w:t>
        </w:r>
        <w:r>
          <w:rPr>
            <w:webHidden/>
          </w:rPr>
          <w:fldChar w:fldCharType="end"/>
        </w:r>
      </w:hyperlink>
    </w:p>
    <w:p w:rsidR="00653D3D" w:rsidRDefault="007651A7">
      <w:pPr>
        <w:pStyle w:val="TOC3"/>
        <w:rPr>
          <w:rFonts w:asciiTheme="minorHAnsi" w:eastAsiaTheme="minorEastAsia" w:hAnsiTheme="minorHAnsi" w:cstheme="minorBidi"/>
          <w:szCs w:val="22"/>
          <w:lang w:eastAsia="en-NZ"/>
        </w:rPr>
      </w:pPr>
      <w:hyperlink w:anchor="_Toc434475678" w:history="1">
        <w:r w:rsidR="00653D3D" w:rsidRPr="000E2A91">
          <w:rPr>
            <w:rStyle w:val="Hyperlink"/>
          </w:rPr>
          <w:t>6.3.1 Before registration begins – meet and greet</w:t>
        </w:r>
        <w:r w:rsidR="00653D3D">
          <w:rPr>
            <w:webHidden/>
          </w:rPr>
          <w:tab/>
        </w:r>
        <w:r>
          <w:rPr>
            <w:webHidden/>
          </w:rPr>
          <w:fldChar w:fldCharType="begin"/>
        </w:r>
        <w:r w:rsidR="00653D3D">
          <w:rPr>
            <w:webHidden/>
          </w:rPr>
          <w:instrText xml:space="preserve"> PAGEREF _Toc434475678 \h </w:instrText>
        </w:r>
        <w:r>
          <w:rPr>
            <w:webHidden/>
          </w:rPr>
        </w:r>
        <w:r>
          <w:rPr>
            <w:webHidden/>
          </w:rPr>
          <w:fldChar w:fldCharType="separate"/>
        </w:r>
        <w:r w:rsidR="00653D3D">
          <w:rPr>
            <w:webHidden/>
          </w:rPr>
          <w:t>5</w:t>
        </w:r>
        <w:r>
          <w:rPr>
            <w:webHidden/>
          </w:rPr>
          <w:fldChar w:fldCharType="end"/>
        </w:r>
      </w:hyperlink>
    </w:p>
    <w:p w:rsidR="00653D3D" w:rsidRDefault="007651A7">
      <w:pPr>
        <w:pStyle w:val="TOC3"/>
        <w:rPr>
          <w:rFonts w:asciiTheme="minorHAnsi" w:eastAsiaTheme="minorEastAsia" w:hAnsiTheme="minorHAnsi" w:cstheme="minorBidi"/>
          <w:szCs w:val="22"/>
          <w:lang w:eastAsia="en-NZ"/>
        </w:rPr>
      </w:pPr>
      <w:hyperlink w:anchor="_Toc434475679" w:history="1">
        <w:r w:rsidR="00653D3D" w:rsidRPr="000E2A91">
          <w:rPr>
            <w:rStyle w:val="Hyperlink"/>
          </w:rPr>
          <w:t>6.3.2 The official registration process</w:t>
        </w:r>
        <w:r w:rsidR="00653D3D">
          <w:rPr>
            <w:webHidden/>
          </w:rPr>
          <w:tab/>
        </w:r>
        <w:r>
          <w:rPr>
            <w:webHidden/>
          </w:rPr>
          <w:fldChar w:fldCharType="begin"/>
        </w:r>
        <w:r w:rsidR="00653D3D">
          <w:rPr>
            <w:webHidden/>
          </w:rPr>
          <w:instrText xml:space="preserve"> PAGEREF _Toc434475679 \h </w:instrText>
        </w:r>
        <w:r>
          <w:rPr>
            <w:webHidden/>
          </w:rPr>
        </w:r>
        <w:r>
          <w:rPr>
            <w:webHidden/>
          </w:rPr>
          <w:fldChar w:fldCharType="separate"/>
        </w:r>
        <w:r w:rsidR="00653D3D">
          <w:rPr>
            <w:webHidden/>
          </w:rPr>
          <w:t>6</w:t>
        </w:r>
        <w:r>
          <w:rPr>
            <w:webHidden/>
          </w:rPr>
          <w:fldChar w:fldCharType="end"/>
        </w:r>
      </w:hyperlink>
    </w:p>
    <w:p w:rsidR="00653D3D" w:rsidRDefault="007651A7">
      <w:pPr>
        <w:pStyle w:val="TOC3"/>
        <w:rPr>
          <w:rFonts w:asciiTheme="minorHAnsi" w:eastAsiaTheme="minorEastAsia" w:hAnsiTheme="minorHAnsi" w:cstheme="minorBidi"/>
          <w:szCs w:val="22"/>
          <w:lang w:eastAsia="en-NZ"/>
        </w:rPr>
      </w:pPr>
      <w:hyperlink w:anchor="_Toc434475680" w:history="1">
        <w:r w:rsidR="00653D3D" w:rsidRPr="000E2A91">
          <w:rPr>
            <w:rStyle w:val="Hyperlink"/>
          </w:rPr>
          <w:t>6.3.3 CDEM EMIS Welfare Registration System</w:t>
        </w:r>
        <w:r w:rsidR="00653D3D">
          <w:rPr>
            <w:webHidden/>
          </w:rPr>
          <w:tab/>
        </w:r>
        <w:r>
          <w:rPr>
            <w:webHidden/>
          </w:rPr>
          <w:fldChar w:fldCharType="begin"/>
        </w:r>
        <w:r w:rsidR="00653D3D">
          <w:rPr>
            <w:webHidden/>
          </w:rPr>
          <w:instrText xml:space="preserve"> PAGEREF _Toc434475680 \h </w:instrText>
        </w:r>
        <w:r>
          <w:rPr>
            <w:webHidden/>
          </w:rPr>
        </w:r>
        <w:r>
          <w:rPr>
            <w:webHidden/>
          </w:rPr>
          <w:fldChar w:fldCharType="separate"/>
        </w:r>
        <w:r w:rsidR="00653D3D">
          <w:rPr>
            <w:webHidden/>
          </w:rPr>
          <w:t>7</w:t>
        </w:r>
        <w:r>
          <w:rPr>
            <w:webHidden/>
          </w:rPr>
          <w:fldChar w:fldCharType="end"/>
        </w:r>
      </w:hyperlink>
    </w:p>
    <w:p w:rsidR="00653D3D" w:rsidRDefault="007651A7">
      <w:pPr>
        <w:pStyle w:val="TOC1"/>
        <w:rPr>
          <w:rFonts w:asciiTheme="minorHAnsi" w:eastAsiaTheme="minorEastAsia" w:hAnsiTheme="minorHAnsi" w:cstheme="minorBidi"/>
          <w:b w:val="0"/>
          <w:bCs w:val="0"/>
          <w:iCs w:val="0"/>
          <w:szCs w:val="22"/>
          <w:lang w:eastAsia="en-NZ"/>
        </w:rPr>
      </w:pPr>
      <w:hyperlink w:anchor="_Toc434475681" w:history="1">
        <w:r w:rsidR="00653D3D" w:rsidRPr="000E2A91">
          <w:rPr>
            <w:rStyle w:val="Hyperlink"/>
          </w:rPr>
          <w:t>Appendix A Information applicable to all welfare services</w:t>
        </w:r>
        <w:r w:rsidR="00653D3D">
          <w:rPr>
            <w:webHidden/>
          </w:rPr>
          <w:tab/>
        </w:r>
        <w:r>
          <w:rPr>
            <w:webHidden/>
          </w:rPr>
          <w:fldChar w:fldCharType="begin"/>
        </w:r>
        <w:r w:rsidR="00653D3D">
          <w:rPr>
            <w:webHidden/>
          </w:rPr>
          <w:instrText xml:space="preserve"> PAGEREF _Toc434475681 \h </w:instrText>
        </w:r>
        <w:r>
          <w:rPr>
            <w:webHidden/>
          </w:rPr>
        </w:r>
        <w:r>
          <w:rPr>
            <w:webHidden/>
          </w:rPr>
          <w:fldChar w:fldCharType="separate"/>
        </w:r>
        <w:r w:rsidR="00653D3D">
          <w:rPr>
            <w:webHidden/>
          </w:rPr>
          <w:t>9</w:t>
        </w:r>
        <w:r>
          <w:rPr>
            <w:webHidden/>
          </w:rPr>
          <w:fldChar w:fldCharType="end"/>
        </w:r>
      </w:hyperlink>
    </w:p>
    <w:p w:rsidR="00A75E5F" w:rsidRDefault="007651A7" w:rsidP="00A75E5F">
      <w:r>
        <w:rPr>
          <w:rFonts w:cstheme="minorHAnsi"/>
          <w:b/>
          <w:bCs/>
          <w:iCs/>
          <w:noProof/>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7" w:name="_Ref416379868"/>
      <w:bookmarkStart w:id="8" w:name="_Ref416379877"/>
      <w:bookmarkStart w:id="9" w:name="_Ref416379990"/>
      <w:bookmarkStart w:id="10"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9"/>
          <w:headerReference w:type="default" r:id="rId20"/>
          <w:footerReference w:type="even" r:id="rId21"/>
          <w:footerReference w:type="default" r:id="rId22"/>
          <w:pgSz w:w="11907" w:h="16840" w:code="9"/>
          <w:pgMar w:top="1191" w:right="1021" w:bottom="794" w:left="1361" w:header="567" w:footer="318" w:gutter="0"/>
          <w:pgNumType w:fmt="lowerRoman" w:start="1"/>
          <w:cols w:space="720"/>
          <w:docGrid w:linePitch="326"/>
        </w:sectPr>
      </w:pPr>
    </w:p>
    <w:p w:rsidR="00226EE2" w:rsidRPr="003A3769" w:rsidRDefault="00226EE2" w:rsidP="00226EE2">
      <w:pPr>
        <w:pStyle w:val="Heading1"/>
      </w:pPr>
      <w:bookmarkStart w:id="11" w:name="_Ref418170520"/>
      <w:bookmarkStart w:id="12" w:name="_Ref418170524"/>
      <w:bookmarkStart w:id="13" w:name="_Ref418170556"/>
      <w:bookmarkStart w:id="14" w:name="_Toc433815254"/>
      <w:bookmarkStart w:id="15" w:name="_Toc434475674"/>
      <w:bookmarkEnd w:id="7"/>
      <w:bookmarkEnd w:id="8"/>
      <w:bookmarkEnd w:id="9"/>
      <w:bookmarkEnd w:id="10"/>
      <w:r w:rsidRPr="003A3769">
        <w:lastRenderedPageBreak/>
        <w:t>Registration</w:t>
      </w:r>
      <w:bookmarkEnd w:id="11"/>
      <w:bookmarkEnd w:id="12"/>
      <w:bookmarkEnd w:id="13"/>
      <w:bookmarkEnd w:id="14"/>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rPr>
                <w:bCs/>
                <w:iCs/>
              </w:rPr>
            </w:pPr>
          </w:p>
        </w:tc>
        <w:tc>
          <w:tcPr>
            <w:tcW w:w="7706" w:type="dxa"/>
          </w:tcPr>
          <w:p w:rsidR="00226EE2" w:rsidRPr="003A3769" w:rsidRDefault="00226EE2" w:rsidP="004740DE">
            <w:r w:rsidRPr="003A3769">
              <w:t xml:space="preserve">This section should be read in conjunction with </w:t>
            </w:r>
            <w:r w:rsidR="004740DE">
              <w:t xml:space="preserve">the other parts and sections in the </w:t>
            </w:r>
            <w:r w:rsidR="004740DE" w:rsidRPr="004740DE">
              <w:rPr>
                <w:i/>
              </w:rPr>
              <w:t>Welfare Services in an Emergency Director’s Guideline [DGL 11/15]</w:t>
            </w:r>
            <w:r w:rsidR="004740DE">
              <w:t>.</w:t>
            </w:r>
          </w:p>
        </w:tc>
      </w:tr>
    </w:tbl>
    <w:p w:rsidR="00226EE2" w:rsidRPr="003A3769" w:rsidRDefault="00226EE2" w:rsidP="00226EE2"/>
    <w:p w:rsidR="00226EE2" w:rsidRPr="003A3769" w:rsidRDefault="00226EE2" w:rsidP="00226EE2">
      <w:pPr>
        <w:pStyle w:val="Heading2"/>
      </w:pPr>
      <w:bookmarkStart w:id="16" w:name="_Toc433815255"/>
      <w:bookmarkStart w:id="17" w:name="_Toc434475675"/>
      <w:r w:rsidRPr="003A3769">
        <w:t>Introduction</w:t>
      </w:r>
      <w:bookmarkEnd w:id="16"/>
      <w:bookmarkEnd w:id="1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Height w:val="2431"/>
        </w:trPr>
        <w:tc>
          <w:tcPr>
            <w:tcW w:w="1927" w:type="dxa"/>
            <w:tcMar>
              <w:right w:w="227" w:type="dxa"/>
            </w:tcMar>
          </w:tcPr>
          <w:p w:rsidR="00226EE2" w:rsidRPr="003A3769" w:rsidRDefault="00226EE2" w:rsidP="00162060">
            <w:pPr>
              <w:pStyle w:val="LHcolumn"/>
            </w:pPr>
          </w:p>
        </w:tc>
        <w:tc>
          <w:tcPr>
            <w:tcW w:w="7706" w:type="dxa"/>
          </w:tcPr>
          <w:p w:rsidR="00226EE2" w:rsidRPr="003A3769" w:rsidRDefault="00226EE2" w:rsidP="00162060">
            <w:r>
              <w:t xml:space="preserve">Registration </w:t>
            </w:r>
            <w:r w:rsidRPr="003A3769">
              <w:t xml:space="preserve">involves collecting information from people </w:t>
            </w:r>
            <w:r>
              <w:t xml:space="preserve">in order </w:t>
            </w:r>
            <w:r w:rsidRPr="003A3769">
              <w:t>to identify who ha</w:t>
            </w:r>
            <w:r>
              <w:t>s</w:t>
            </w:r>
            <w:r w:rsidRPr="003A3769">
              <w:t xml:space="preserve"> been directly affected by an emergency</w:t>
            </w:r>
            <w:r>
              <w:t>,</w:t>
            </w:r>
            <w:r w:rsidRPr="003A3769">
              <w:t xml:space="preserve"> and may require emergency welfare services.</w:t>
            </w:r>
          </w:p>
          <w:p w:rsidR="00226EE2" w:rsidRDefault="00226EE2" w:rsidP="00162060">
            <w:r w:rsidRPr="003A3769">
              <w:t xml:space="preserve">Registration information informs the needs assessment sub-function, and </w:t>
            </w:r>
            <w:r>
              <w:t>is</w:t>
            </w:r>
            <w:r w:rsidRPr="003A3769">
              <w:t xml:space="preserve"> used to support the Inquiry sub-function.</w:t>
            </w:r>
          </w:p>
          <w:p w:rsidR="00226EE2" w:rsidRDefault="00226EE2" w:rsidP="00162060">
            <w:r w:rsidRPr="003A3769">
              <w:t>Registration is primarily a response sub-function</w:t>
            </w:r>
            <w:r>
              <w:t>. However</w:t>
            </w:r>
            <w:r w:rsidRPr="003A3769">
              <w:t>, people affected by an emergency may not require welfare services until some</w:t>
            </w:r>
            <w:r>
              <w:t xml:space="preserve"> later</w:t>
            </w:r>
            <w:r w:rsidRPr="003A3769">
              <w:t xml:space="preserve"> time after the emergency occurs (possibly during recovery).</w:t>
            </w:r>
          </w:p>
          <w:p w:rsidR="00226EE2" w:rsidRPr="00920B3F" w:rsidRDefault="00226EE2" w:rsidP="00162060">
            <w:pPr>
              <w:rPr>
                <w:rFonts w:cs="Arial"/>
              </w:rPr>
            </w:pPr>
            <w:r w:rsidRPr="00920B3F">
              <w:rPr>
                <w:rFonts w:cs="Arial"/>
              </w:rPr>
              <w:t>Registration is a voluntary activity that assists with coordinated assessment of needs and provision of welfare services in an emergency. People affected by an emergency and that are registered can be easily identified by CDEM Groups/local authorities</w:t>
            </w:r>
            <w:r>
              <w:rPr>
                <w:rFonts w:cs="Arial"/>
              </w:rPr>
              <w:t>.</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 xml:space="preserve">Agency responsible </w:t>
            </w:r>
          </w:p>
        </w:tc>
        <w:tc>
          <w:tcPr>
            <w:tcW w:w="7706" w:type="dxa"/>
          </w:tcPr>
          <w:p w:rsidR="00226EE2" w:rsidRPr="003A3769" w:rsidRDefault="00226EE2" w:rsidP="00162060">
            <w:r>
              <w:t xml:space="preserve">MCDEM and CDEM Groups (including local authorities) </w:t>
            </w:r>
            <w:r w:rsidRPr="003A3769">
              <w:t>are the agencies responsible for coordinating the registration sub-function:</w:t>
            </w:r>
          </w:p>
          <w:p w:rsidR="00226EE2" w:rsidRPr="003A3769" w:rsidRDefault="00226EE2" w:rsidP="00162060">
            <w:pPr>
              <w:pStyle w:val="Bullet"/>
            </w:pPr>
            <w:r w:rsidRPr="003A3769">
              <w:t xml:space="preserve">at the </w:t>
            </w:r>
            <w:r w:rsidRPr="003A3769">
              <w:rPr>
                <w:b/>
              </w:rPr>
              <w:t>national level</w:t>
            </w:r>
            <w:r w:rsidRPr="003A3769">
              <w:t>, MCDEM is the agency responsible for the provision of the CDEM welfare registration system for registering people who are affected by an emergency and who may require emergency welfare services</w:t>
            </w:r>
            <w:r>
              <w:t>, and</w:t>
            </w:r>
          </w:p>
          <w:p w:rsidR="00226EE2" w:rsidRPr="003A3769" w:rsidRDefault="00226EE2" w:rsidP="00162060">
            <w:pPr>
              <w:pStyle w:val="Bullet"/>
            </w:pPr>
            <w:proofErr w:type="gramStart"/>
            <w:r w:rsidRPr="003A3769">
              <w:t>at</w:t>
            </w:r>
            <w:proofErr w:type="gramEnd"/>
            <w:r w:rsidRPr="003A3769">
              <w:t xml:space="preserve"> the </w:t>
            </w:r>
            <w:r w:rsidRPr="003A3769">
              <w:rPr>
                <w:b/>
                <w:bCs/>
              </w:rPr>
              <w:t>CDEM Group level</w:t>
            </w:r>
            <w:r w:rsidRPr="003A3769">
              <w:t>, CDEM Groups are responsible for registering people who have been affected by an emergency and who may require emergency welfare services.</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rPr>
                <w:bCs/>
                <w:iCs/>
              </w:rPr>
            </w:pPr>
            <w:r w:rsidRPr="003A3769">
              <w:rPr>
                <w:bCs/>
                <w:iCs/>
              </w:rPr>
              <w:t>Support</w:t>
            </w:r>
          </w:p>
        </w:tc>
        <w:tc>
          <w:tcPr>
            <w:tcW w:w="7706" w:type="dxa"/>
          </w:tcPr>
          <w:p w:rsidR="00226EE2" w:rsidRDefault="00226EE2" w:rsidP="00162060">
            <w:pPr>
              <w:rPr>
                <w:iCs/>
              </w:rPr>
            </w:pPr>
            <w:r w:rsidRPr="003A3769">
              <w:rPr>
                <w:iCs/>
              </w:rPr>
              <w:t>Support may be provided by any other government agency or non-government organisation that can provide relevant advice, information, or trained staff.</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rPr>
                <w:bCs/>
                <w:iCs/>
              </w:rPr>
            </w:pPr>
            <w:r>
              <w:rPr>
                <w:bCs/>
                <w:iCs/>
              </w:rPr>
              <w:t>Registrar and registrant</w:t>
            </w:r>
          </w:p>
        </w:tc>
        <w:tc>
          <w:tcPr>
            <w:tcW w:w="7706" w:type="dxa"/>
          </w:tcPr>
          <w:p w:rsidR="00226EE2" w:rsidRPr="003A3769" w:rsidRDefault="00226EE2" w:rsidP="00162060">
            <w:pPr>
              <w:rPr>
                <w:iCs/>
              </w:rPr>
            </w:pPr>
            <w:r w:rsidRPr="003A3769">
              <w:t xml:space="preserve">A </w:t>
            </w:r>
            <w:r w:rsidRPr="003A3769">
              <w:rPr>
                <w:b/>
                <w:bCs/>
              </w:rPr>
              <w:t>registrar</w:t>
            </w:r>
            <w:r w:rsidRPr="003A3769">
              <w:t xml:space="preserve"> completes the welfare registration </w:t>
            </w:r>
            <w:r>
              <w:t>process</w:t>
            </w:r>
            <w:r w:rsidRPr="003A3769">
              <w:t xml:space="preserve"> with the information provided by an individual (</w:t>
            </w:r>
            <w:r w:rsidRPr="003A3769">
              <w:rPr>
                <w:b/>
                <w:bCs/>
              </w:rPr>
              <w:t>registrant</w:t>
            </w:r>
            <w:r w:rsidRPr="003A3769">
              <w:t>)</w:t>
            </w:r>
            <w:r>
              <w:t>, or their parent, legal guardian, or usual caregiver.</w:t>
            </w:r>
          </w:p>
        </w:tc>
      </w:tr>
    </w:tbl>
    <w:p w:rsidR="00226EE2" w:rsidRDefault="00226EE2" w:rsidP="00226EE2"/>
    <w:p w:rsidR="00226EE2" w:rsidRDefault="00226EE2" w:rsidP="00226EE2">
      <w:r>
        <w:br w:type="page"/>
      </w:r>
    </w:p>
    <w:p w:rsidR="00226EE2" w:rsidRPr="003A3769" w:rsidRDefault="00226EE2" w:rsidP="00226EE2">
      <w:pPr>
        <w:pStyle w:val="Heading2"/>
      </w:pPr>
      <w:bookmarkStart w:id="18" w:name="_Toc433815256"/>
      <w:bookmarkStart w:id="19" w:name="_Toc434475676"/>
      <w:r w:rsidRPr="003A3769">
        <w:lastRenderedPageBreak/>
        <w:t>Principles</w:t>
      </w:r>
      <w:bookmarkEnd w:id="18"/>
      <w:bookmarkEnd w:id="1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Height w:val="8833"/>
        </w:trPr>
        <w:tc>
          <w:tcPr>
            <w:tcW w:w="1927" w:type="dxa"/>
            <w:tcMar>
              <w:right w:w="227" w:type="dxa"/>
            </w:tcMar>
          </w:tcPr>
          <w:p w:rsidR="00226EE2" w:rsidRPr="003A3769" w:rsidRDefault="00226EE2" w:rsidP="00162060">
            <w:pPr>
              <w:pStyle w:val="LHcolumn"/>
            </w:pPr>
          </w:p>
        </w:tc>
        <w:tc>
          <w:tcPr>
            <w:tcW w:w="7706" w:type="dxa"/>
          </w:tcPr>
          <w:p w:rsidR="00226EE2" w:rsidRPr="003A3769" w:rsidRDefault="00226EE2" w:rsidP="00162060">
            <w:r w:rsidRPr="003A3769">
              <w:t>The following principles guide the registration process:</w:t>
            </w:r>
          </w:p>
          <w:p w:rsidR="00226EE2" w:rsidRPr="003A3769" w:rsidRDefault="00226EE2" w:rsidP="00162060">
            <w:pPr>
              <w:pStyle w:val="Numbering"/>
              <w:numPr>
                <w:ilvl w:val="0"/>
                <w:numId w:val="20"/>
              </w:numPr>
            </w:pPr>
            <w:r w:rsidRPr="003A3769">
              <w:t>Only register people who are affected by an emergency and who have a need for welfare services</w:t>
            </w:r>
            <w:r>
              <w:t xml:space="preserve"> (this includes people who </w:t>
            </w:r>
            <w:r w:rsidRPr="0085087A">
              <w:rPr>
                <w:b/>
              </w:rPr>
              <w:t>identify</w:t>
            </w:r>
            <w:r>
              <w:t xml:space="preserve"> as being affected by an emergency</w:t>
            </w:r>
            <w:r w:rsidRPr="00813AD2">
              <w:t>, or simply wish to be registered).</w:t>
            </w:r>
          </w:p>
          <w:p w:rsidR="00226EE2" w:rsidRDefault="00226EE2" w:rsidP="00162060">
            <w:pPr>
              <w:pStyle w:val="Numbering"/>
            </w:pPr>
            <w:r w:rsidRPr="003A3769">
              <w:t>Ensure registrars are empathetic towards registrants, and that the experience is people-focu</w:t>
            </w:r>
            <w:r>
              <w:t>sed (not process-focus</w:t>
            </w:r>
            <w:r w:rsidRPr="003A3769">
              <w:t>ed) and positive; consider the barrier that a (computer) screen may create between people.</w:t>
            </w:r>
          </w:p>
          <w:p w:rsidR="00226EE2" w:rsidRDefault="00226EE2" w:rsidP="00162060">
            <w:pPr>
              <w:pStyle w:val="Numbering"/>
            </w:pPr>
            <w:r w:rsidRPr="003564E9">
              <w:t>People affected by an emergency should be encouraged</w:t>
            </w:r>
            <w:r>
              <w:t xml:space="preserve"> by all agencies</w:t>
            </w:r>
            <w:r w:rsidRPr="003564E9">
              <w:t xml:space="preserve"> to register</w:t>
            </w:r>
            <w:r>
              <w:t>, to ensure:</w:t>
            </w:r>
          </w:p>
          <w:p w:rsidR="00226EE2" w:rsidRDefault="00226EE2" w:rsidP="00162060">
            <w:pPr>
              <w:pStyle w:val="Numbering"/>
              <w:numPr>
                <w:ilvl w:val="1"/>
                <w:numId w:val="8"/>
              </w:numPr>
            </w:pPr>
            <w:r>
              <w:t>an integrated approach to welfare service provision, and</w:t>
            </w:r>
          </w:p>
          <w:p w:rsidR="00226EE2" w:rsidRDefault="00226EE2" w:rsidP="00162060">
            <w:pPr>
              <w:pStyle w:val="Numbering"/>
              <w:numPr>
                <w:ilvl w:val="1"/>
                <w:numId w:val="8"/>
              </w:numPr>
            </w:pPr>
            <w:proofErr w:type="gramStart"/>
            <w:r>
              <w:t>that</w:t>
            </w:r>
            <w:proofErr w:type="gramEnd"/>
            <w:r>
              <w:t xml:space="preserve"> people’s needs are met through the most appropriate channel. </w:t>
            </w:r>
          </w:p>
          <w:p w:rsidR="00226EE2" w:rsidRPr="003A3769" w:rsidRDefault="00226EE2" w:rsidP="00162060">
            <w:pPr>
              <w:pStyle w:val="Numbering"/>
            </w:pPr>
            <w:r w:rsidRPr="003A3769">
              <w:t>The registration process must be efficient.</w:t>
            </w:r>
          </w:p>
          <w:p w:rsidR="00226EE2" w:rsidRPr="00292F57" w:rsidRDefault="00226EE2" w:rsidP="00162060">
            <w:pPr>
              <w:pStyle w:val="Numbering"/>
            </w:pPr>
            <w:r w:rsidRPr="003A3769">
              <w:t xml:space="preserve">Use the </w:t>
            </w:r>
            <w:r w:rsidRPr="003A3769">
              <w:rPr>
                <w:i/>
              </w:rPr>
              <w:t xml:space="preserve">CDEM </w:t>
            </w:r>
            <w:r w:rsidR="00A3012C" w:rsidRPr="003A3769">
              <w:rPr>
                <w:i/>
              </w:rPr>
              <w:t>E</w:t>
            </w:r>
            <w:r w:rsidR="00A3012C">
              <w:rPr>
                <w:i/>
              </w:rPr>
              <w:t xml:space="preserve">mergency </w:t>
            </w:r>
            <w:r w:rsidRPr="003A3769">
              <w:rPr>
                <w:i/>
              </w:rPr>
              <w:t>M</w:t>
            </w:r>
            <w:r w:rsidR="00A3012C">
              <w:rPr>
                <w:i/>
              </w:rPr>
              <w:t xml:space="preserve">anagement </w:t>
            </w:r>
            <w:r w:rsidRPr="003A3769">
              <w:rPr>
                <w:i/>
              </w:rPr>
              <w:t>I</w:t>
            </w:r>
            <w:r w:rsidR="00A3012C">
              <w:rPr>
                <w:i/>
              </w:rPr>
              <w:t xml:space="preserve">nformation </w:t>
            </w:r>
            <w:r w:rsidRPr="003A3769">
              <w:rPr>
                <w:i/>
              </w:rPr>
              <w:t>S</w:t>
            </w:r>
            <w:r w:rsidR="00A3012C">
              <w:rPr>
                <w:i/>
              </w:rPr>
              <w:t>ystem (CDEM EMIS)</w:t>
            </w:r>
            <w:r w:rsidRPr="003A3769">
              <w:rPr>
                <w:i/>
              </w:rPr>
              <w:t xml:space="preserve"> Welfare Registration System</w:t>
            </w:r>
            <w:r w:rsidRPr="003A3769">
              <w:t xml:space="preserve"> (the national standard), and </w:t>
            </w:r>
            <w:r w:rsidRPr="00292F57">
              <w:t>complete all compulsory fields as a minimum.</w:t>
            </w:r>
          </w:p>
          <w:p w:rsidR="00226EE2" w:rsidRPr="00292F57" w:rsidRDefault="00226EE2" w:rsidP="00162060">
            <w:pPr>
              <w:pStyle w:val="Numbering"/>
            </w:pPr>
            <w:r w:rsidRPr="00292F57">
              <w:t xml:space="preserve">Train personnel and volunteers in the use of the </w:t>
            </w:r>
            <w:r w:rsidRPr="00292F57">
              <w:rPr>
                <w:i/>
              </w:rPr>
              <w:t>CDEM EMIS Welfare Registration System</w:t>
            </w:r>
            <w:r w:rsidRPr="00292F57">
              <w:t xml:space="preserve"> and in information privacy requirements.</w:t>
            </w:r>
          </w:p>
          <w:p w:rsidR="00226EE2" w:rsidRPr="003A3769" w:rsidRDefault="00226EE2" w:rsidP="00162060">
            <w:pPr>
              <w:pStyle w:val="Numbering"/>
            </w:pPr>
            <w:r w:rsidRPr="003A3769">
              <w:t xml:space="preserve">Put all trained registrars through the Police </w:t>
            </w:r>
            <w:r>
              <w:t>v</w:t>
            </w:r>
            <w:r w:rsidRPr="003A3769">
              <w:t>etting process.</w:t>
            </w:r>
          </w:p>
          <w:p w:rsidR="00226EE2" w:rsidRPr="003A3769" w:rsidRDefault="00226EE2" w:rsidP="00162060">
            <w:pPr>
              <w:pStyle w:val="Numbering"/>
            </w:pPr>
            <w:r w:rsidRPr="003A3769">
              <w:t>Avoid using spontaneous volunteers as registrars if possible.</w:t>
            </w:r>
          </w:p>
          <w:p w:rsidR="00226EE2" w:rsidRPr="003A3769" w:rsidRDefault="00226EE2" w:rsidP="00162060">
            <w:pPr>
              <w:pStyle w:val="Numbering"/>
            </w:pPr>
            <w:r w:rsidRPr="003A3769">
              <w:t>Clarify privacy and information sharing intentions with all registrants and obtain agreement to be registered (if no agreement is given, a person cannot be registered).</w:t>
            </w:r>
          </w:p>
          <w:p w:rsidR="00226EE2" w:rsidRPr="003A3769" w:rsidRDefault="00226EE2" w:rsidP="00162060">
            <w:pPr>
              <w:pStyle w:val="Numbering"/>
            </w:pPr>
            <w:r w:rsidRPr="003A3769">
              <w:t>Sight and record identification, preferably photographic if this is available.</w:t>
            </w:r>
          </w:p>
          <w:p w:rsidR="00226EE2" w:rsidRPr="003A3769" w:rsidRDefault="00226EE2" w:rsidP="00162060">
            <w:pPr>
              <w:pStyle w:val="Numbering"/>
            </w:pPr>
            <w:r w:rsidRPr="003A3769">
              <w:t>Gather as much useful information about individuals as possible, with a view to only asking individuals for this information once.</w:t>
            </w:r>
          </w:p>
          <w:p w:rsidR="00226EE2" w:rsidRPr="003A3769" w:rsidRDefault="00226EE2" w:rsidP="00162060">
            <w:pPr>
              <w:pStyle w:val="Numbering"/>
            </w:pPr>
            <w:r w:rsidRPr="003A3769">
              <w:t>Welfare registration information should be shared across relevant agencies to enable effective response and recovery.</w:t>
            </w:r>
          </w:p>
        </w:tc>
      </w:tr>
    </w:tbl>
    <w:p w:rsidR="00226EE2" w:rsidRDefault="00226EE2" w:rsidP="00226EE2"/>
    <w:p w:rsidR="00226EE2" w:rsidRDefault="00226EE2" w:rsidP="00226EE2">
      <w:pPr>
        <w:spacing w:before="0" w:after="0" w:line="240" w:lineRule="auto"/>
      </w:pPr>
      <w:r>
        <w:br w:type="page"/>
      </w:r>
    </w:p>
    <w:p w:rsidR="00226EE2" w:rsidRPr="003A3769" w:rsidRDefault="00226EE2" w:rsidP="00226EE2">
      <w:pPr>
        <w:pStyle w:val="Heading2"/>
      </w:pPr>
      <w:bookmarkStart w:id="20" w:name="_Toc433815257"/>
      <w:bookmarkStart w:id="21" w:name="_Toc434475677"/>
      <w:r w:rsidRPr="003A3769">
        <w:lastRenderedPageBreak/>
        <w:t>Welfare registration process</w:t>
      </w:r>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p>
        </w:tc>
        <w:tc>
          <w:tcPr>
            <w:tcW w:w="7706" w:type="dxa"/>
          </w:tcPr>
          <w:p w:rsidR="00226EE2" w:rsidRPr="003A3769" w:rsidRDefault="00226EE2" w:rsidP="00162060">
            <w:r w:rsidRPr="003A3769">
              <w:t>The registration process is carried out:</w:t>
            </w:r>
          </w:p>
          <w:p w:rsidR="00226EE2" w:rsidRPr="003A3769" w:rsidRDefault="00226EE2" w:rsidP="00162060">
            <w:pPr>
              <w:pStyle w:val="Bullet"/>
            </w:pPr>
            <w:r w:rsidRPr="003A3769">
              <w:t xml:space="preserve">in a face to face </w:t>
            </w:r>
            <w:r>
              <w:t xml:space="preserve">setting in a </w:t>
            </w:r>
            <w:r w:rsidR="00AC4F01">
              <w:t>Civil Defence Centre (</w:t>
            </w:r>
            <w:r>
              <w:t>CDC</w:t>
            </w:r>
            <w:r w:rsidR="00AC4F01">
              <w:t>) – including during recovery</w:t>
            </w:r>
          </w:p>
          <w:p w:rsidR="00226EE2" w:rsidRDefault="00226EE2" w:rsidP="00162060">
            <w:pPr>
              <w:pStyle w:val="Bullet"/>
            </w:pPr>
            <w:r w:rsidRPr="003A3769">
              <w:t>in a comm</w:t>
            </w:r>
            <w:r>
              <w:t>unity setting (by mobile teams), or</w:t>
            </w:r>
          </w:p>
          <w:p w:rsidR="00226EE2" w:rsidRPr="003A3769" w:rsidRDefault="00226EE2" w:rsidP="00162060">
            <w:pPr>
              <w:pStyle w:val="Bullet"/>
            </w:pPr>
            <w:proofErr w:type="gramStart"/>
            <w:r>
              <w:t>remotely</w:t>
            </w:r>
            <w:proofErr w:type="gramEnd"/>
            <w:r>
              <w:t>, such as via self-service online or by telephone.</w:t>
            </w:r>
          </w:p>
        </w:tc>
      </w:tr>
    </w:tbl>
    <w:p w:rsidR="00226EE2" w:rsidRPr="003A3769" w:rsidRDefault="00226EE2" w:rsidP="00226EE2"/>
    <w:p w:rsidR="00226EE2" w:rsidRPr="003A3769" w:rsidRDefault="00226EE2" w:rsidP="00226EE2">
      <w:pPr>
        <w:pStyle w:val="Heading3"/>
        <w:ind w:left="0"/>
      </w:pPr>
      <w:bookmarkStart w:id="22" w:name="_Toc433815258"/>
      <w:bookmarkStart w:id="23" w:name="_Toc434475678"/>
      <w:r w:rsidRPr="003A3769">
        <w:t>Before registration begins – meet and greet</w:t>
      </w:r>
      <w:bookmarkEnd w:id="22"/>
      <w:bookmarkEnd w:id="2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r w:rsidRPr="003A3769">
              <w:t>Meet and greet in a CDC setting</w:t>
            </w:r>
          </w:p>
        </w:tc>
        <w:tc>
          <w:tcPr>
            <w:tcW w:w="7706" w:type="dxa"/>
          </w:tcPr>
          <w:p w:rsidR="00226EE2" w:rsidRPr="003A3769" w:rsidRDefault="00226EE2" w:rsidP="00162060">
            <w:r w:rsidRPr="003A3769">
              <w:t xml:space="preserve">People arriving at </w:t>
            </w:r>
            <w:proofErr w:type="spellStart"/>
            <w:r w:rsidRPr="003A3769">
              <w:t>CDCs</w:t>
            </w:r>
            <w:proofErr w:type="spellEnd"/>
            <w:r w:rsidRPr="003A3769">
              <w:t xml:space="preserve"> are greeted by members of the Welfare team (reception personnel) who make initial decisions (i.e. triage, a preliminary form of needs assessment) about whether a person needs to be registered.</w:t>
            </w:r>
          </w:p>
          <w:p w:rsidR="00226EE2" w:rsidRPr="003A3769" w:rsidRDefault="00226EE2" w:rsidP="00162060">
            <w:r w:rsidRPr="003A3769">
              <w:t xml:space="preserve">At this point, immediate needs are identified and addressed, and any other initial assistance provided. </w:t>
            </w:r>
          </w:p>
          <w:p w:rsidR="00226EE2" w:rsidRPr="003A3769" w:rsidRDefault="00226EE2" w:rsidP="00162060">
            <w:r w:rsidRPr="003A3769">
              <w:t>Some people may only be seeking general information and therefore do not need to be registered. Meet and greet/reception personnel will be able to assist them to access the information they require, diverting them away from a busy registration area or unnecessary queue.</w:t>
            </w:r>
          </w:p>
          <w:p w:rsidR="00226EE2" w:rsidRPr="003A3769" w:rsidRDefault="00226EE2" w:rsidP="00162060">
            <w:r w:rsidRPr="003A3769">
              <w:t>Some people may require some assistance prior to being registered, some food or a hot drink, a bathroom stop, or merely someone to talk to.</w:t>
            </w:r>
          </w:p>
          <w:p w:rsidR="00226EE2" w:rsidRPr="003A3769" w:rsidRDefault="00226EE2" w:rsidP="00162060">
            <w:r w:rsidRPr="003A3769">
              <w:t xml:space="preserve">If people are </w:t>
            </w:r>
            <w:proofErr w:type="spellStart"/>
            <w:r w:rsidRPr="003A3769">
              <w:t>queueing</w:t>
            </w:r>
            <w:proofErr w:type="spellEnd"/>
            <w:r w:rsidRPr="003A3769">
              <w:t xml:space="preserve"> (at a desk</w:t>
            </w:r>
            <w:r>
              <w:t>,</w:t>
            </w:r>
            <w:r w:rsidRPr="003A3769">
              <w:t xml:space="preserve"> to be registered for example) or congregating in waiting areas, having some roaming, trained personnel to walk the queues/waiting areas can be very helpful to identify any issues or difficulties that a person may be experiencing or that may arise.</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Immediate needs</w:t>
            </w:r>
          </w:p>
        </w:tc>
        <w:tc>
          <w:tcPr>
            <w:tcW w:w="7706" w:type="dxa"/>
          </w:tcPr>
          <w:p w:rsidR="00226EE2" w:rsidRPr="003A3769" w:rsidRDefault="00226EE2" w:rsidP="00162060">
            <w:r>
              <w:t>Immediate needs</w:t>
            </w:r>
            <w:r w:rsidRPr="003A3769">
              <w:t xml:space="preserve"> may include the treatment of an injury or a need for other medical assistance, the requirement for an interpreter, provision of warm/dry clothing, </w:t>
            </w:r>
            <w:r>
              <w:t xml:space="preserve">or </w:t>
            </w:r>
            <w:r w:rsidRPr="003A3769">
              <w:t xml:space="preserve">a need to make an urgent phone call. </w:t>
            </w:r>
          </w:p>
          <w:p w:rsidR="00226EE2" w:rsidRDefault="00226EE2" w:rsidP="00162060">
            <w:r w:rsidRPr="003A3769">
              <w:t>People may also be distressed or anxious and require privacy.</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Meet and greet in a community setting</w:t>
            </w:r>
          </w:p>
        </w:tc>
        <w:tc>
          <w:tcPr>
            <w:tcW w:w="7706" w:type="dxa"/>
          </w:tcPr>
          <w:p w:rsidR="00226EE2" w:rsidRPr="003A3769" w:rsidRDefault="00226EE2" w:rsidP="00162060">
            <w:r w:rsidRPr="003A3769">
              <w:t>Welfare teams conducting mobile or door to door visits decide which people</w:t>
            </w:r>
            <w:r>
              <w:t xml:space="preserve"> they see </w:t>
            </w:r>
            <w:r w:rsidRPr="003A3769">
              <w:t>have a need for welfare services, and are therefore to be registered. Only these peoples’ details are recorded.</w:t>
            </w:r>
          </w:p>
        </w:tc>
      </w:tr>
    </w:tbl>
    <w:p w:rsidR="00226EE2" w:rsidRPr="003A3769" w:rsidRDefault="00226EE2" w:rsidP="00226EE2"/>
    <w:p w:rsidR="00226EE2" w:rsidRPr="003A3769" w:rsidRDefault="00226EE2" w:rsidP="00226EE2">
      <w:pPr>
        <w:pStyle w:val="Heading3"/>
        <w:ind w:left="0"/>
      </w:pPr>
      <w:bookmarkStart w:id="24" w:name="_Toc433815259"/>
      <w:bookmarkStart w:id="25" w:name="_Toc434475679"/>
      <w:r w:rsidRPr="003A3769">
        <w:lastRenderedPageBreak/>
        <w:t>The official registration process</w:t>
      </w:r>
      <w:bookmarkEnd w:id="24"/>
      <w:bookmarkEnd w:id="2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p>
        </w:tc>
        <w:tc>
          <w:tcPr>
            <w:tcW w:w="7706" w:type="dxa"/>
          </w:tcPr>
          <w:p w:rsidR="00226EE2" w:rsidRDefault="00226EE2" w:rsidP="00162060">
            <w:r w:rsidRPr="003A3769">
              <w:t>The official registration process begins when the decision to register an affected person is made; the person presents themselves at the registration desk/area, or to a registrar</w:t>
            </w:r>
            <w:r>
              <w:t>,</w:t>
            </w:r>
            <w:r w:rsidRPr="003A3769">
              <w:t xml:space="preserve"> or contact is made with a r</w:t>
            </w:r>
            <w:r>
              <w:t>egistrar in a community setting (or via self-service in a remote setting)</w:t>
            </w:r>
            <w:r w:rsidRPr="003A3769">
              <w:t>.</w:t>
            </w:r>
          </w:p>
          <w:p w:rsidR="00226EE2" w:rsidRPr="003A3769" w:rsidRDefault="00226EE2" w:rsidP="00162060">
            <w:r>
              <w:t>Information about the registration process, including a statement of agreement to be registered, can be provided in advance via a hand-out or by way of on-screen displays or posters.</w:t>
            </w: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In a CDC setting</w:t>
            </w:r>
          </w:p>
        </w:tc>
        <w:tc>
          <w:tcPr>
            <w:tcW w:w="7706" w:type="dxa"/>
          </w:tcPr>
          <w:p w:rsidR="00226EE2" w:rsidRPr="003A3769" w:rsidRDefault="00226EE2" w:rsidP="00162060">
            <w:r w:rsidRPr="003A3769">
              <w:t xml:space="preserve">In the CDC setting, a variety of methods may be used to register affected people including: </w:t>
            </w:r>
          </w:p>
          <w:p w:rsidR="00226EE2" w:rsidRPr="003A3769" w:rsidRDefault="00226EE2" w:rsidP="00162060">
            <w:pPr>
              <w:pStyle w:val="Bullet"/>
            </w:pPr>
            <w:r w:rsidRPr="003A3769">
              <w:t>registration desks may be established in the CDC with multiple registrars equipped with:</w:t>
            </w:r>
          </w:p>
          <w:p w:rsidR="00226EE2" w:rsidRPr="003A3769" w:rsidRDefault="00226EE2" w:rsidP="00162060">
            <w:pPr>
              <w:pStyle w:val="Bullet"/>
              <w:numPr>
                <w:ilvl w:val="1"/>
                <w:numId w:val="6"/>
              </w:numPr>
            </w:pPr>
            <w:r w:rsidRPr="003A3769">
              <w:t xml:space="preserve">laptops, with internet connection for the </w:t>
            </w:r>
            <w:r w:rsidRPr="003A3769">
              <w:rPr>
                <w:i/>
              </w:rPr>
              <w:t>CDEM EMIS Welfare Registration System</w:t>
            </w:r>
          </w:p>
          <w:p w:rsidR="00226EE2" w:rsidRPr="003A3769" w:rsidRDefault="00226EE2" w:rsidP="00162060">
            <w:pPr>
              <w:pStyle w:val="Bullet"/>
              <w:numPr>
                <w:ilvl w:val="1"/>
                <w:numId w:val="6"/>
              </w:numPr>
            </w:pPr>
            <w:r w:rsidRPr="003A3769">
              <w:t xml:space="preserve">the paper based equivalent of  the system (printed Welfare Registration Forms from the </w:t>
            </w:r>
            <w:r w:rsidRPr="003A3769">
              <w:rPr>
                <w:i/>
              </w:rPr>
              <w:t>CDEM EMIS Welfare Registration System</w:t>
            </w:r>
            <w:r w:rsidRPr="003A3769">
              <w:t>)</w:t>
            </w:r>
          </w:p>
          <w:p w:rsidR="00226EE2" w:rsidRPr="003A3769" w:rsidRDefault="00226EE2" w:rsidP="00162060">
            <w:pPr>
              <w:pStyle w:val="Bullet"/>
              <w:numPr>
                <w:ilvl w:val="1"/>
                <w:numId w:val="6"/>
              </w:numPr>
            </w:pPr>
            <w:r w:rsidRPr="003A3769">
              <w:t xml:space="preserve">laptops, using a specific  spreadsheet that will upload registration data directly  into the </w:t>
            </w:r>
            <w:r w:rsidRPr="003A3769">
              <w:rPr>
                <w:i/>
              </w:rPr>
              <w:t>CDEM EMIS Welfare Registration System</w:t>
            </w:r>
            <w:r w:rsidRPr="003A3769">
              <w:t>, in the correct format</w:t>
            </w:r>
            <w:r>
              <w:t>, and</w:t>
            </w:r>
          </w:p>
          <w:p w:rsidR="00226EE2" w:rsidRPr="003A3769" w:rsidRDefault="00226EE2" w:rsidP="00162060">
            <w:pPr>
              <w:pStyle w:val="Bullet"/>
            </w:pPr>
            <w:proofErr w:type="gramStart"/>
            <w:r w:rsidRPr="003A3769">
              <w:t>roaming</w:t>
            </w:r>
            <w:proofErr w:type="gramEnd"/>
            <w:r w:rsidRPr="003A3769">
              <w:t xml:space="preserve"> registrars in the CDC equipped with printed Welfare Registration Forms.</w:t>
            </w:r>
          </w:p>
          <w:p w:rsidR="00226EE2" w:rsidRPr="003A3769" w:rsidRDefault="00226EE2" w:rsidP="00162060">
            <w:pPr>
              <w:pStyle w:val="Tinyline"/>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In a community setting</w:t>
            </w:r>
          </w:p>
        </w:tc>
        <w:tc>
          <w:tcPr>
            <w:tcW w:w="7706" w:type="dxa"/>
          </w:tcPr>
          <w:p w:rsidR="00226EE2" w:rsidRPr="003A3769" w:rsidRDefault="00226EE2" w:rsidP="00162060">
            <w:r w:rsidRPr="003A3769">
              <w:t>Outreach teams (mobile teams door to door, or the setup of a mobile facility) may be used in the community setting to register affected people. Community members may be provided with printed Welfare Registration Forms, or mobile devices.</w:t>
            </w:r>
          </w:p>
          <w:p w:rsidR="00226EE2" w:rsidRPr="003A3769" w:rsidRDefault="00226EE2" w:rsidP="00162060">
            <w:pPr>
              <w:pStyle w:val="Tinyline"/>
            </w:pPr>
          </w:p>
        </w:tc>
      </w:tr>
      <w:tr w:rsidR="00226EE2" w:rsidRPr="003A3769" w:rsidTr="00162060">
        <w:trPr>
          <w:cantSplit/>
        </w:trPr>
        <w:tc>
          <w:tcPr>
            <w:tcW w:w="1927" w:type="dxa"/>
            <w:tcMar>
              <w:right w:w="227" w:type="dxa"/>
            </w:tcMar>
          </w:tcPr>
          <w:p w:rsidR="00226EE2" w:rsidRPr="003A3769" w:rsidRDefault="00AC4F01" w:rsidP="00162060">
            <w:pPr>
              <w:pStyle w:val="LHcolumn"/>
            </w:pPr>
            <w:r w:rsidRPr="003A3769">
              <w:rPr>
                <w:noProof/>
              </w:rPr>
              <w:drawing>
                <wp:anchor distT="0" distB="0" distL="114300" distR="114300" simplePos="0" relativeHeight="251674624" behindDoc="0" locked="0" layoutInCell="1" allowOverlap="1">
                  <wp:simplePos x="0" y="0"/>
                  <wp:positionH relativeFrom="margin">
                    <wp:align>center</wp:align>
                  </wp:positionH>
                  <wp:positionV relativeFrom="margin">
                    <wp:posOffset>1480820</wp:posOffset>
                  </wp:positionV>
                  <wp:extent cx="561600" cy="56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00226EE2" w:rsidRPr="003A3769">
              <w:t>Remote registration</w:t>
            </w:r>
          </w:p>
        </w:tc>
        <w:tc>
          <w:tcPr>
            <w:tcW w:w="7706" w:type="dxa"/>
          </w:tcPr>
          <w:p w:rsidR="00226EE2" w:rsidRPr="003A3769" w:rsidRDefault="00226EE2" w:rsidP="00162060">
            <w:r w:rsidRPr="003A3769">
              <w:t>Remote options to register affected people may also be a possibility, including:</w:t>
            </w:r>
          </w:p>
          <w:p w:rsidR="00226EE2" w:rsidRPr="003A3769" w:rsidRDefault="00226EE2" w:rsidP="00162060">
            <w:pPr>
              <w:pStyle w:val="Bullet"/>
            </w:pPr>
            <w:r w:rsidRPr="003A3769">
              <w:t>self-service telephone capability via a generic or 0800 number (e.g. a Council or other call centre)</w:t>
            </w:r>
          </w:p>
          <w:p w:rsidR="00226EE2" w:rsidRPr="003A3769" w:rsidRDefault="00226EE2" w:rsidP="00162060">
            <w:pPr>
              <w:pStyle w:val="Bullet"/>
            </w:pPr>
            <w:r w:rsidRPr="003A3769">
              <w:t>self-service (online), or</w:t>
            </w:r>
          </w:p>
          <w:p w:rsidR="00226EE2" w:rsidRPr="003A3769" w:rsidRDefault="00226EE2" w:rsidP="00162060">
            <w:pPr>
              <w:pStyle w:val="Bullet"/>
            </w:pPr>
            <w:proofErr w:type="gramStart"/>
            <w:r w:rsidRPr="003A3769">
              <w:t>outbound</w:t>
            </w:r>
            <w:proofErr w:type="gramEnd"/>
            <w:r w:rsidRPr="003A3769">
              <w:t xml:space="preserve"> calling.</w:t>
            </w:r>
          </w:p>
          <w:p w:rsidR="00226EE2" w:rsidRPr="003A3769" w:rsidRDefault="00226EE2" w:rsidP="00884978">
            <w:r w:rsidRPr="003A3769">
              <w:t xml:space="preserve">See </w:t>
            </w:r>
            <w:r w:rsidR="00AC4F01">
              <w:t xml:space="preserve">Part II Section 7 </w:t>
            </w:r>
            <w:r w:rsidR="00AC4F01" w:rsidRPr="00AC4F01">
              <w:rPr>
                <w:i/>
              </w:rPr>
              <w:t>Needs assessment</w:t>
            </w:r>
            <w:r w:rsidR="00AC4F01">
              <w:t xml:space="preserve"> of the </w:t>
            </w:r>
            <w:r w:rsidR="00AC4F01" w:rsidRPr="00AC4F01">
              <w:rPr>
                <w:i/>
              </w:rPr>
              <w:t>Welfare Services in an Emergency Director’s Guideline [DGL 11/15]</w:t>
            </w:r>
            <w:r w:rsidR="00AC4F01">
              <w:t xml:space="preserve"> </w:t>
            </w:r>
            <w:r w:rsidRPr="003A3769">
              <w:t>for more information on these options</w:t>
            </w:r>
            <w:r w:rsidR="00AC4F01">
              <w:t xml:space="preserve"> (available at </w:t>
            </w:r>
            <w:hyperlink r:id="rId24" w:history="1">
              <w:r w:rsidR="00AC4F01" w:rsidRPr="00D625C5">
                <w:rPr>
                  <w:rStyle w:val="Hyperlink"/>
                </w:rPr>
                <w:t>www.civildefence.govt.nz</w:t>
              </w:r>
            </w:hyperlink>
            <w:r w:rsidR="00AC4F01">
              <w:t>).</w:t>
            </w:r>
          </w:p>
        </w:tc>
      </w:tr>
    </w:tbl>
    <w:p w:rsidR="00226EE2" w:rsidRPr="00EC2265" w:rsidRDefault="00226EE2" w:rsidP="00226EE2"/>
    <w:p w:rsidR="00226EE2" w:rsidRPr="003A3769" w:rsidRDefault="00226EE2" w:rsidP="00226EE2">
      <w:pPr>
        <w:pStyle w:val="Heading3"/>
        <w:ind w:left="0"/>
      </w:pPr>
      <w:bookmarkStart w:id="26" w:name="_Toc433815260"/>
      <w:bookmarkStart w:id="27" w:name="_Toc434475680"/>
      <w:r w:rsidRPr="003A3769">
        <w:lastRenderedPageBreak/>
        <w:t>CDEM EMIS Welfare Registration System</w:t>
      </w:r>
      <w:bookmarkEnd w:id="26"/>
      <w:bookmarkEnd w:id="2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Height w:val="3573"/>
        </w:trPr>
        <w:tc>
          <w:tcPr>
            <w:tcW w:w="1927" w:type="dxa"/>
            <w:tcMar>
              <w:right w:w="227" w:type="dxa"/>
            </w:tcMar>
          </w:tcPr>
          <w:p w:rsidR="00226EE2" w:rsidRPr="003A3769" w:rsidRDefault="00226EE2" w:rsidP="00162060">
            <w:pPr>
              <w:pStyle w:val="LHcolumn"/>
            </w:pPr>
            <w:r w:rsidRPr="003A3769">
              <w:rPr>
                <w:noProof/>
              </w:rPr>
              <w:drawing>
                <wp:anchor distT="0" distB="0" distL="114300" distR="114300" simplePos="0" relativeHeight="251661312" behindDoc="0" locked="0" layoutInCell="1" allowOverlap="1">
                  <wp:simplePos x="0" y="0"/>
                  <wp:positionH relativeFrom="margin">
                    <wp:align>center</wp:align>
                  </wp:positionH>
                  <wp:positionV relativeFrom="margin">
                    <wp:posOffset>1440180</wp:posOffset>
                  </wp:positionV>
                  <wp:extent cx="561600" cy="56160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162060">
            <w:r w:rsidRPr="003A3769">
              <w:t xml:space="preserve">The </w:t>
            </w:r>
            <w:r w:rsidRPr="00E10683">
              <w:rPr>
                <w:i/>
              </w:rPr>
              <w:t>CDEM EMIS Welfare Registration System</w:t>
            </w:r>
            <w:r w:rsidRPr="003A3769">
              <w:t xml:space="preserve"> </w:t>
            </w:r>
            <w:r>
              <w:t xml:space="preserve">is the national standard registration system which </w:t>
            </w:r>
            <w:r w:rsidRPr="003A3769">
              <w:t xml:space="preserve">stores registrations and inquiries in a single, online database. The database allows all </w:t>
            </w:r>
            <w:r w:rsidRPr="003A3769">
              <w:rPr>
                <w:i/>
              </w:rPr>
              <w:t>CDEM EMIS</w:t>
            </w:r>
            <w:r w:rsidRPr="003A3769">
              <w:t xml:space="preserve"> users to enter and access welfare information for their own organisation or on behalf of any other organisation in New Zealand</w:t>
            </w:r>
            <w:r>
              <w:t>, regardless of location</w:t>
            </w:r>
            <w:r w:rsidRPr="003A3769">
              <w:t xml:space="preserve">. Access to/administration of the system is managed by CDEM at each level (local authority, CDEM Group, MCDEM). </w:t>
            </w:r>
          </w:p>
          <w:p w:rsidR="00226EE2" w:rsidRPr="00EC2265" w:rsidRDefault="00226EE2" w:rsidP="00162060">
            <w:pPr>
              <w:rPr>
                <w:iCs/>
              </w:rPr>
            </w:pPr>
            <w:r w:rsidRPr="003A3769">
              <w:t xml:space="preserve">For more information on the system and permissions, refer to the </w:t>
            </w:r>
            <w:r w:rsidRPr="003A3769">
              <w:rPr>
                <w:i/>
                <w:iCs/>
              </w:rPr>
              <w:t xml:space="preserve">CDEM EMIS User Guide – Welfare Registration </w:t>
            </w:r>
            <w:r w:rsidRPr="003A3769">
              <w:rPr>
                <w:iCs/>
              </w:rPr>
              <w:t>outlined under the Resources heading of this section.</w:t>
            </w: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Welfare inquiry</w:t>
            </w:r>
          </w:p>
        </w:tc>
        <w:tc>
          <w:tcPr>
            <w:tcW w:w="7706" w:type="dxa"/>
          </w:tcPr>
          <w:p w:rsidR="00226EE2" w:rsidRDefault="00226EE2" w:rsidP="00162060">
            <w:pPr>
              <w:rPr>
                <w:bCs/>
              </w:rPr>
            </w:pPr>
            <w:r>
              <w:t>The welfare i</w:t>
            </w:r>
            <w:r w:rsidRPr="003A3769">
              <w:t xml:space="preserve">nquiry component of the </w:t>
            </w:r>
            <w:r w:rsidRPr="003A3769">
              <w:rPr>
                <w:i/>
              </w:rPr>
              <w:t>CDEM EMIS Welfare Registration System</w:t>
            </w:r>
            <w:r w:rsidRPr="003A3769">
              <w:t xml:space="preserve"> interrogates the welfare registration data stored in the system. This feature can be used when </w:t>
            </w:r>
            <w:r w:rsidRPr="003A3769">
              <w:rPr>
                <w:bCs/>
              </w:rPr>
              <w:t xml:space="preserve">a person makes an inquiry about another person they wish to make contact with. </w:t>
            </w:r>
          </w:p>
          <w:p w:rsidR="00226EE2" w:rsidRPr="003B4ECC"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rPr>
                <w:noProof/>
              </w:rPr>
            </w:pPr>
            <w:r>
              <w:rPr>
                <w:noProof/>
              </w:rPr>
              <w:t>Permission levels</w:t>
            </w:r>
          </w:p>
        </w:tc>
        <w:tc>
          <w:tcPr>
            <w:tcW w:w="7706" w:type="dxa"/>
          </w:tcPr>
          <w:p w:rsidR="00226EE2" w:rsidRDefault="00226EE2" w:rsidP="00162060">
            <w:r w:rsidRPr="003A3769">
              <w:rPr>
                <w:bCs/>
              </w:rPr>
              <w:t xml:space="preserve">There are multiple permission levels in the </w:t>
            </w:r>
            <w:r w:rsidRPr="003A3769">
              <w:rPr>
                <w:i/>
              </w:rPr>
              <w:t>CDEM EMIS Welfare Registration System</w:t>
            </w:r>
            <w:r w:rsidRPr="003A3769">
              <w:t>. Strict procedure is applied to ensure the privacy and security of personal information about all registrants and people being sought after.</w:t>
            </w:r>
          </w:p>
        </w:tc>
      </w:tr>
      <w:tr w:rsidR="00226EE2" w:rsidRPr="003A3769" w:rsidTr="00162060">
        <w:trPr>
          <w:cantSplit/>
        </w:trPr>
        <w:tc>
          <w:tcPr>
            <w:tcW w:w="1927" w:type="dxa"/>
            <w:tcMar>
              <w:right w:w="227" w:type="dxa"/>
            </w:tcMar>
          </w:tcPr>
          <w:p w:rsidR="00226EE2" w:rsidRPr="003A3769" w:rsidRDefault="00226EE2" w:rsidP="00162060">
            <w:pPr>
              <w:pStyle w:val="Tinyline"/>
              <w:rPr>
                <w:noProof/>
              </w:rPr>
            </w:pPr>
            <w:r w:rsidRPr="003A3769">
              <w:rPr>
                <w:noProof/>
              </w:rPr>
              <w:drawing>
                <wp:anchor distT="0" distB="0" distL="114300" distR="114300" simplePos="0" relativeHeight="251662336" behindDoc="0" locked="0" layoutInCell="1" allowOverlap="1">
                  <wp:simplePos x="0" y="0"/>
                  <wp:positionH relativeFrom="margin">
                    <wp:posOffset>272415</wp:posOffset>
                  </wp:positionH>
                  <wp:positionV relativeFrom="margin">
                    <wp:posOffset>0</wp:posOffset>
                  </wp:positionV>
                  <wp:extent cx="561600" cy="5616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162060">
            <w:r w:rsidRPr="003A3769">
              <w:t xml:space="preserve">Refer to the </w:t>
            </w:r>
            <w:r w:rsidRPr="003A3769">
              <w:rPr>
                <w:i/>
              </w:rPr>
              <w:t xml:space="preserve">CDEM EMIS User Guide – Welfare Registration </w:t>
            </w:r>
            <w:r w:rsidRPr="003A3769">
              <w:t>outlined under the Resources heading of this section, for detailed information on permissions and procedures.</w:t>
            </w:r>
          </w:p>
        </w:tc>
      </w:tr>
    </w:tbl>
    <w:p w:rsidR="00226EE2" w:rsidRPr="003A3769" w:rsidRDefault="00226EE2" w:rsidP="00226EE2"/>
    <w:p w:rsidR="00226EE2" w:rsidRPr="003A3769" w:rsidRDefault="00226EE2" w:rsidP="00226EE2">
      <w:pPr>
        <w:pStyle w:val="Heading4"/>
        <w:ind w:left="0"/>
      </w:pPr>
      <w:r w:rsidRPr="003A3769">
        <w:t>Planning considerations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r w:rsidRPr="003A3769">
              <w:t>Online versus paper based system</w:t>
            </w:r>
          </w:p>
        </w:tc>
        <w:tc>
          <w:tcPr>
            <w:tcW w:w="7706" w:type="dxa"/>
          </w:tcPr>
          <w:p w:rsidR="00226EE2" w:rsidRPr="003A3769" w:rsidRDefault="00226EE2" w:rsidP="00162060">
            <w:r w:rsidRPr="003A3769">
              <w:t xml:space="preserve">A paper based replica of the system </w:t>
            </w:r>
            <w:r>
              <w:t>should be</w:t>
            </w:r>
            <w:r w:rsidRPr="003A3769">
              <w:t xml:space="preserve"> available for use during an emergency, including situations where there is either:</w:t>
            </w:r>
          </w:p>
          <w:p w:rsidR="00226EE2" w:rsidRPr="003A3769" w:rsidRDefault="00226EE2" w:rsidP="00162060">
            <w:pPr>
              <w:pStyle w:val="Bullet"/>
            </w:pPr>
            <w:r w:rsidRPr="003A3769">
              <w:t>no power</w:t>
            </w:r>
          </w:p>
          <w:p w:rsidR="00226EE2" w:rsidRPr="003A3769" w:rsidRDefault="00226EE2" w:rsidP="00162060">
            <w:pPr>
              <w:pStyle w:val="Bullet"/>
            </w:pPr>
            <w:r w:rsidRPr="003A3769">
              <w:t>no internet connection, or</w:t>
            </w:r>
          </w:p>
          <w:p w:rsidR="00226EE2" w:rsidRPr="003A3769" w:rsidRDefault="00226EE2" w:rsidP="00162060">
            <w:pPr>
              <w:pStyle w:val="Bullet"/>
            </w:pPr>
            <w:proofErr w:type="gramStart"/>
            <w:r w:rsidRPr="003A3769">
              <w:t>no</w:t>
            </w:r>
            <w:proofErr w:type="gramEnd"/>
            <w:r w:rsidRPr="003A3769">
              <w:t xml:space="preserve"> IT capability (e.g. laptop</w:t>
            </w:r>
            <w:r>
              <w:t>s or</w:t>
            </w:r>
            <w:r w:rsidRPr="003A3769">
              <w:t xml:space="preserve"> PC</w:t>
            </w:r>
            <w:r>
              <w:t>s</w:t>
            </w:r>
            <w:r w:rsidRPr="003A3769">
              <w:t>).</w:t>
            </w:r>
          </w:p>
          <w:p w:rsidR="00226EE2" w:rsidRPr="003A3769" w:rsidRDefault="00226EE2" w:rsidP="00162060">
            <w:r w:rsidRPr="003A3769">
              <w:t>Forms can be printed and stored (during readiness) as part of CDC welfare kits/equipment.</w:t>
            </w:r>
          </w:p>
          <w:p w:rsidR="00226EE2" w:rsidRPr="003A3769" w:rsidRDefault="00226EE2" w:rsidP="00162060">
            <w:r w:rsidRPr="003A3769">
              <w:t xml:space="preserve">Hard copy records will need to be entered into the online system at the earliest opportunity. This may involve the physical transfer of hard copy records to the </w:t>
            </w:r>
            <w:r>
              <w:t>coordination centre</w:t>
            </w:r>
            <w:r w:rsidRPr="003A3769">
              <w:t xml:space="preserve"> or other facility for data entry into the </w:t>
            </w:r>
            <w:r w:rsidRPr="003A3769">
              <w:rPr>
                <w:i/>
              </w:rPr>
              <w:t>CDEM EMIS Welfare Registration</w:t>
            </w:r>
            <w:r>
              <w:rPr>
                <w:i/>
              </w:rPr>
              <w:t xml:space="preserve"> System</w:t>
            </w:r>
            <w:r w:rsidRPr="003A3769">
              <w:rPr>
                <w:i/>
              </w:rPr>
              <w:t xml:space="preserve"> </w:t>
            </w:r>
            <w:r w:rsidRPr="003A3769">
              <w:t xml:space="preserve">at a later time. </w:t>
            </w:r>
          </w:p>
          <w:p w:rsidR="00226EE2" w:rsidRPr="003A3769" w:rsidRDefault="00226EE2" w:rsidP="00162060">
            <w:r w:rsidRPr="003A3769">
              <w:t xml:space="preserve">Information security must be addressed to protect personal information and to meet privacy obligations (see </w:t>
            </w:r>
            <w:r>
              <w:t xml:space="preserve">section </w:t>
            </w:r>
            <w:fldSimple w:instr=" REF _Ref419707546 \n \h  \* MERGEFORMAT ">
              <w:r w:rsidR="00A3012C">
                <w:t>A.5</w:t>
              </w:r>
            </w:fldSimple>
            <w:r w:rsidRPr="003A3769">
              <w:t xml:space="preserve"> </w:t>
            </w:r>
            <w:fldSimple w:instr=" REF _Ref419707546 \h  \* MERGEFORMAT ">
              <w:r w:rsidR="00A3012C" w:rsidRPr="00A3012C">
                <w:rPr>
                  <w:i/>
                  <w:color w:val="005A9B" w:themeColor="background2"/>
                  <w:u w:val="single"/>
                </w:rPr>
                <w:t>Privacy, information sharing, and vetting</w:t>
              </w:r>
            </w:fldSimple>
            <w:r w:rsidRPr="003A3769">
              <w:t xml:space="preserve"> on page </w:t>
            </w:r>
            <w:r w:rsidR="007651A7" w:rsidRPr="003A3769">
              <w:fldChar w:fldCharType="begin"/>
            </w:r>
            <w:r w:rsidRPr="003A3769">
              <w:instrText xml:space="preserve"> PAGEREF _Ref419707546 \h </w:instrText>
            </w:r>
            <w:r w:rsidR="007651A7" w:rsidRPr="003A3769">
              <w:fldChar w:fldCharType="separate"/>
            </w:r>
            <w:r w:rsidR="00A3012C">
              <w:rPr>
                <w:noProof/>
              </w:rPr>
              <w:t>11</w:t>
            </w:r>
            <w:r w:rsidR="007651A7" w:rsidRPr="003A3769">
              <w:fldChar w:fldCharType="end"/>
            </w:r>
            <w:r w:rsidRPr="003A3769">
              <w:t xml:space="preserve"> for more information).</w:t>
            </w:r>
          </w:p>
          <w:p w:rsidR="00226EE2" w:rsidRDefault="00226EE2" w:rsidP="00162060">
            <w:r w:rsidRPr="003A3769">
              <w:t>Plan for these situations when considering and exercising the welfare registration sub-function.</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lastRenderedPageBreak/>
              <w:t>Retention and disposal of data</w:t>
            </w:r>
          </w:p>
        </w:tc>
        <w:tc>
          <w:tcPr>
            <w:tcW w:w="7706" w:type="dxa"/>
          </w:tcPr>
          <w:p w:rsidR="00226EE2" w:rsidRPr="003A3769" w:rsidRDefault="00226EE2" w:rsidP="00162060">
            <w:r w:rsidRPr="003A3769">
              <w:t xml:space="preserve">Each local authority will have its own policy for records/information storage. Storage of registration data will come under a CDEM </w:t>
            </w:r>
            <w:r>
              <w:t>Group/local authority’s</w:t>
            </w:r>
            <w:r w:rsidRPr="003A3769">
              <w:t xml:space="preserve"> retention and disposal plan or policy. </w:t>
            </w:r>
          </w:p>
        </w:tc>
      </w:tr>
    </w:tbl>
    <w:p w:rsidR="00226EE2" w:rsidRPr="003A3769" w:rsidRDefault="00226EE2" w:rsidP="00226EE2"/>
    <w:p w:rsidR="00226EE2" w:rsidRPr="003A3769" w:rsidRDefault="00226EE2" w:rsidP="00226EE2">
      <w:pPr>
        <w:pStyle w:val="Heading4"/>
        <w:ind w:left="0"/>
      </w:pPr>
      <w:bookmarkStart w:id="28" w:name="_Ref419707283"/>
      <w:r w:rsidRPr="003A3769">
        <w:t>Resources</w:t>
      </w:r>
      <w:bookmarkEnd w:id="2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r w:rsidRPr="003A3769">
              <w:t>Printable Welfare Registration Forms</w:t>
            </w:r>
          </w:p>
        </w:tc>
        <w:tc>
          <w:tcPr>
            <w:tcW w:w="7706" w:type="dxa"/>
          </w:tcPr>
          <w:p w:rsidR="00226EE2" w:rsidRPr="003A3769" w:rsidRDefault="00226EE2" w:rsidP="00162060">
            <w:r w:rsidRPr="003A3769">
              <w:t xml:space="preserve">A number of printer-friendly forms for use when registering people are available in </w:t>
            </w:r>
            <w:r w:rsidRPr="003A3769">
              <w:rPr>
                <w:i/>
              </w:rPr>
              <w:t>CDEM EMIS</w:t>
            </w:r>
            <w:r w:rsidRPr="003A3769">
              <w:t>, each with a different purpose.</w:t>
            </w:r>
          </w:p>
          <w:p w:rsidR="00226EE2" w:rsidRPr="003A3769" w:rsidRDefault="00226EE2" w:rsidP="00162060">
            <w:r w:rsidRPr="003A3769">
              <w:t>Forms include:</w:t>
            </w:r>
          </w:p>
          <w:p w:rsidR="00226EE2" w:rsidRPr="003A3769" w:rsidRDefault="00226EE2" w:rsidP="00162060">
            <w:pPr>
              <w:pStyle w:val="Bullet"/>
            </w:pPr>
            <w:proofErr w:type="gramStart"/>
            <w:r w:rsidRPr="003A3769">
              <w:t>a</w:t>
            </w:r>
            <w:proofErr w:type="gramEnd"/>
            <w:r w:rsidRPr="003A3769">
              <w:t xml:space="preserve"> </w:t>
            </w:r>
            <w:r w:rsidRPr="003A3769">
              <w:rPr>
                <w:b/>
              </w:rPr>
              <w:t>Group Registration Form</w:t>
            </w:r>
            <w:r w:rsidRPr="003A3769">
              <w:t xml:space="preserve"> to register people residing/working at the same address. This feature carries address information across to individual registrations, eliminating the need to enter the same data multiple times</w:t>
            </w:r>
          </w:p>
          <w:p w:rsidR="00226EE2" w:rsidRPr="003A3769" w:rsidRDefault="00226EE2" w:rsidP="00162060">
            <w:pPr>
              <w:pStyle w:val="Bullet"/>
            </w:pPr>
            <w:r w:rsidRPr="003A3769">
              <w:t xml:space="preserve">a two-page </w:t>
            </w:r>
            <w:r w:rsidRPr="003A3769">
              <w:rPr>
                <w:b/>
              </w:rPr>
              <w:t>Welfare Registration Short Form</w:t>
            </w:r>
            <w:r w:rsidRPr="003A3769">
              <w:t xml:space="preserve"> which captures pertinent registration information in a shortened format and is intended for hard copy use</w:t>
            </w:r>
          </w:p>
          <w:p w:rsidR="00226EE2" w:rsidRPr="003A3769" w:rsidRDefault="00226EE2" w:rsidP="00162060">
            <w:pPr>
              <w:pStyle w:val="Bullet"/>
              <w:rPr>
                <w:b/>
                <w:bCs/>
              </w:rPr>
            </w:pPr>
            <w:r w:rsidRPr="003A3769">
              <w:rPr>
                <w:bCs/>
              </w:rPr>
              <w:t>a</w:t>
            </w:r>
            <w:r w:rsidRPr="003A3769">
              <w:rPr>
                <w:b/>
                <w:bCs/>
              </w:rPr>
              <w:t xml:space="preserve"> Welfare Inquiry Form</w:t>
            </w:r>
            <w:r w:rsidRPr="003A3769">
              <w:rPr>
                <w:bCs/>
              </w:rPr>
              <w:t xml:space="preserve"> to record information from a person making an inquiry about a pe</w:t>
            </w:r>
            <w:r>
              <w:rPr>
                <w:bCs/>
              </w:rPr>
              <w:t>rson/people being sought after</w:t>
            </w:r>
          </w:p>
          <w:p w:rsidR="00226EE2" w:rsidRPr="002A3CC4" w:rsidRDefault="00226EE2" w:rsidP="00162060">
            <w:pPr>
              <w:pStyle w:val="Bullet"/>
              <w:rPr>
                <w:b/>
                <w:bCs/>
              </w:rPr>
            </w:pPr>
            <w:proofErr w:type="gramStart"/>
            <w:r w:rsidRPr="003A3769">
              <w:rPr>
                <w:bCs/>
              </w:rPr>
              <w:t>a</w:t>
            </w:r>
            <w:proofErr w:type="gramEnd"/>
            <w:r w:rsidRPr="003A3769">
              <w:rPr>
                <w:bCs/>
              </w:rPr>
              <w:t xml:space="preserve"> </w:t>
            </w:r>
            <w:r w:rsidRPr="003A3769">
              <w:rPr>
                <w:b/>
                <w:bCs/>
              </w:rPr>
              <w:t>Welfare Needs Assessment Form</w:t>
            </w:r>
            <w:r w:rsidRPr="003A3769">
              <w:rPr>
                <w:bCs/>
              </w:rPr>
              <w:t xml:space="preserve"> to record detailed information about an individual’s requirement for welfare services. Each of the requirements/services is featured on a new page allowing printing </w:t>
            </w:r>
            <w:r>
              <w:rPr>
                <w:bCs/>
              </w:rPr>
              <w:t>as required, and</w:t>
            </w:r>
          </w:p>
          <w:p w:rsidR="00226EE2" w:rsidRPr="003A3769" w:rsidRDefault="00226EE2" w:rsidP="00162060">
            <w:pPr>
              <w:pStyle w:val="Bullet"/>
              <w:rPr>
                <w:b/>
                <w:bCs/>
              </w:rPr>
            </w:pPr>
            <w:proofErr w:type="gramStart"/>
            <w:r>
              <w:rPr>
                <w:bCs/>
              </w:rPr>
              <w:t>a</w:t>
            </w:r>
            <w:proofErr w:type="gramEnd"/>
            <w:r>
              <w:rPr>
                <w:bCs/>
              </w:rPr>
              <w:t xml:space="preserve"> </w:t>
            </w:r>
            <w:r w:rsidRPr="002A3CC4">
              <w:rPr>
                <w:b/>
                <w:bCs/>
              </w:rPr>
              <w:t>Civil Defence Centre Report Form</w:t>
            </w:r>
            <w:r>
              <w:rPr>
                <w:bCs/>
              </w:rPr>
              <w:t xml:space="preserve"> to record information about the functioning of a CDC (affected people, personnel, welfare services etc.) to relay to the coordination centre.</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CDC Registration Card</w:t>
            </w:r>
          </w:p>
        </w:tc>
        <w:tc>
          <w:tcPr>
            <w:tcW w:w="7706" w:type="dxa"/>
          </w:tcPr>
          <w:p w:rsidR="00226EE2" w:rsidRPr="003A3769" w:rsidRDefault="00226EE2" w:rsidP="00162060">
            <w:r w:rsidRPr="003A3769">
              <w:t xml:space="preserve">A CDC registration card can be given to a registrant as physical evidence that the person is registered by a local authority. The card includes the name, date registered, CDC details and contact information for further assistance (e.g. local authority details, as the CDC may close). </w:t>
            </w:r>
          </w:p>
          <w:p w:rsidR="00226EE2" w:rsidRPr="003A3769" w:rsidRDefault="00226EE2" w:rsidP="00162060">
            <w:r w:rsidRPr="003A3769">
              <w:t>A CDC registration card is not required by any agency in order to provide welfare services, but may be a useful record for a registrant.</w:t>
            </w:r>
          </w:p>
          <w:p w:rsidR="00226EE2" w:rsidRPr="003A3769" w:rsidRDefault="00226EE2" w:rsidP="00162060">
            <w:r w:rsidRPr="003A3769">
              <w:t xml:space="preserve">Templates for CDC registration cards are available in </w:t>
            </w:r>
            <w:r w:rsidRPr="003A3769">
              <w:rPr>
                <w:i/>
              </w:rPr>
              <w:t>CDEM EMIS</w:t>
            </w:r>
            <w:r w:rsidRPr="003A3769">
              <w:t xml:space="preserve"> (see link below).</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136525</wp:posOffset>
                  </wp:positionV>
                  <wp:extent cx="561600" cy="5616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162060">
            <w:r w:rsidRPr="003A3769">
              <w:t xml:space="preserve">For further detailed information on the use of the </w:t>
            </w:r>
            <w:r w:rsidRPr="003A3769">
              <w:rPr>
                <w:i/>
              </w:rPr>
              <w:t>CDEM EMIS Welfare Registration System</w:t>
            </w:r>
            <w:r w:rsidRPr="003A3769">
              <w:t xml:space="preserve"> </w:t>
            </w:r>
            <w:r>
              <w:t>refer to</w:t>
            </w:r>
            <w:r w:rsidRPr="003A3769">
              <w:t xml:space="preserve"> the suite of </w:t>
            </w:r>
            <w:r w:rsidRPr="003A3769">
              <w:rPr>
                <w:b/>
                <w:bCs/>
              </w:rPr>
              <w:t>CDEM EMIS User Guides</w:t>
            </w:r>
            <w:r w:rsidRPr="003A3769">
              <w:t xml:space="preserve"> which are available in </w:t>
            </w:r>
            <w:r w:rsidRPr="003A3769">
              <w:rPr>
                <w:i/>
              </w:rPr>
              <w:t>CDEM EMIS</w:t>
            </w:r>
            <w:r w:rsidRPr="003A3769">
              <w:t xml:space="preserve"> at </w:t>
            </w:r>
            <w:hyperlink r:id="rId25" w:history="1">
              <w:r w:rsidRPr="00DB0104">
                <w:rPr>
                  <w:rStyle w:val="Hyperlink"/>
                </w:rPr>
                <w:t>https://cdem.emis.govt.nz</w:t>
              </w:r>
            </w:hyperlink>
            <w:r w:rsidRPr="003A3769">
              <w:t xml:space="preserve"> (under National Documents, EMIS User Guides). </w:t>
            </w:r>
          </w:p>
          <w:p w:rsidR="00226EE2" w:rsidRPr="003A3769" w:rsidRDefault="00226EE2" w:rsidP="00162060">
            <w:r w:rsidRPr="00101285">
              <w:rPr>
                <w:b/>
              </w:rPr>
              <w:t>Note</w:t>
            </w:r>
            <w:r>
              <w:t xml:space="preserve">: A login is required to access these guides. </w:t>
            </w:r>
          </w:p>
          <w:p w:rsidR="00226EE2" w:rsidRPr="003A3769" w:rsidRDefault="00226EE2" w:rsidP="00162060">
            <w:r w:rsidRPr="003A3769">
              <w:t>In particular, see:</w:t>
            </w:r>
          </w:p>
          <w:p w:rsidR="00226EE2" w:rsidRPr="003A3769" w:rsidRDefault="00226EE2" w:rsidP="00162060">
            <w:pPr>
              <w:pStyle w:val="Bullet"/>
              <w:rPr>
                <w:i/>
              </w:rPr>
            </w:pPr>
            <w:r w:rsidRPr="003A3769">
              <w:rPr>
                <w:i/>
              </w:rPr>
              <w:t>CDEM EMIS User Guide – Getting Started</w:t>
            </w:r>
          </w:p>
          <w:p w:rsidR="00226EE2" w:rsidRPr="003A3769" w:rsidRDefault="00226EE2" w:rsidP="00162060">
            <w:pPr>
              <w:pStyle w:val="Bullet"/>
            </w:pPr>
            <w:r w:rsidRPr="003A3769">
              <w:rPr>
                <w:i/>
              </w:rPr>
              <w:t>CDEM EMIS User Guide – Welfare Registration.</w:t>
            </w:r>
          </w:p>
        </w:tc>
      </w:tr>
    </w:tbl>
    <w:p w:rsidR="00226EE2" w:rsidRPr="003A3769" w:rsidRDefault="00226EE2" w:rsidP="00226EE2">
      <w:pPr>
        <w:pStyle w:val="Heading6"/>
      </w:pPr>
      <w:bookmarkStart w:id="29" w:name="_Ref419707145"/>
      <w:bookmarkStart w:id="30" w:name="_Ref419707149"/>
      <w:bookmarkStart w:id="31" w:name="_Ref419707163"/>
      <w:bookmarkStart w:id="32" w:name="_Ref430961952"/>
      <w:bookmarkStart w:id="33" w:name="_Ref430961953"/>
      <w:bookmarkStart w:id="34" w:name="_Ref430961954"/>
      <w:bookmarkStart w:id="35" w:name="_Toc433815248"/>
      <w:bookmarkStart w:id="36" w:name="_Toc434475681"/>
      <w:r w:rsidRPr="003A3769">
        <w:lastRenderedPageBreak/>
        <w:t>Information applicable to all welfare services</w:t>
      </w:r>
      <w:bookmarkEnd w:id="29"/>
      <w:bookmarkEnd w:id="30"/>
      <w:bookmarkEnd w:id="31"/>
      <w:bookmarkEnd w:id="32"/>
      <w:bookmarkEnd w:id="33"/>
      <w:bookmarkEnd w:id="34"/>
      <w:bookmarkEnd w:id="35"/>
      <w:bookmarkEnd w:id="3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p>
        </w:tc>
        <w:tc>
          <w:tcPr>
            <w:tcW w:w="7706" w:type="dxa"/>
          </w:tcPr>
          <w:p w:rsidR="00226EE2" w:rsidRPr="003A3769" w:rsidRDefault="00226EE2" w:rsidP="00162060">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37" w:name="_Toc433815249"/>
      <w:r w:rsidRPr="003A3769">
        <w:t>Welfare services agency representation</w:t>
      </w:r>
      <w:bookmarkEnd w:id="3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Height w:val="4844"/>
        </w:trPr>
        <w:tc>
          <w:tcPr>
            <w:tcW w:w="1927" w:type="dxa"/>
            <w:tcMar>
              <w:right w:w="227" w:type="dxa"/>
            </w:tcMar>
          </w:tcPr>
          <w:p w:rsidR="00226EE2" w:rsidRPr="003A3769" w:rsidRDefault="00226EE2" w:rsidP="00162060">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162060">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162060">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162060">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162060">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162060">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162060">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3A3769" w:rsidRDefault="00226EE2" w:rsidP="00226EE2">
      <w:pPr>
        <w:pStyle w:val="Heading7"/>
      </w:pPr>
      <w:bookmarkStart w:id="38" w:name="_Toc433815250"/>
      <w:r w:rsidRPr="003A3769">
        <w:t>Human rights</w:t>
      </w:r>
      <w:bookmarkEnd w:id="3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162060">
        <w:trPr>
          <w:cantSplit/>
        </w:trPr>
        <w:tc>
          <w:tcPr>
            <w:tcW w:w="1928" w:type="dxa"/>
            <w:tcMar>
              <w:right w:w="227" w:type="dxa"/>
            </w:tcMar>
          </w:tcPr>
          <w:p w:rsidR="00226EE2" w:rsidRPr="003A3769" w:rsidRDefault="00226EE2" w:rsidP="00162060">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162060">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162060">
            <w:r w:rsidRPr="00FE5C6B">
              <w:t>See the Human Rights C</w:t>
            </w:r>
            <w:r>
              <w:t>ommission website</w:t>
            </w:r>
            <w:r w:rsidRPr="00FE5C6B">
              <w:t xml:space="preserve"> </w:t>
            </w:r>
            <w:hyperlink r:id="rId26" w:history="1">
              <w:r w:rsidRPr="00CE2AF7">
                <w:rPr>
                  <w:rStyle w:val="Hyperlink"/>
                </w:rPr>
                <w:t>www.hrc.co.nz</w:t>
              </w:r>
            </w:hyperlink>
            <w:r w:rsidRPr="00FE5C6B">
              <w:t xml:space="preserve"> under the ‘Your rights’ tab for more information.</w:t>
            </w:r>
          </w:p>
          <w:p w:rsidR="00226EE2" w:rsidRPr="00FE5C6B" w:rsidRDefault="00226EE2" w:rsidP="00162060">
            <w:pPr>
              <w:pStyle w:val="Spacer"/>
            </w:pPr>
          </w:p>
        </w:tc>
      </w:tr>
      <w:tr w:rsidR="00226EE2" w:rsidRPr="003A3769" w:rsidTr="00162060">
        <w:trPr>
          <w:cantSplit/>
        </w:trPr>
        <w:tc>
          <w:tcPr>
            <w:tcW w:w="1928" w:type="dxa"/>
            <w:tcMar>
              <w:right w:w="227" w:type="dxa"/>
            </w:tcMar>
          </w:tcPr>
          <w:p w:rsidR="00226EE2" w:rsidRPr="003A3769" w:rsidRDefault="00226EE2" w:rsidP="00162060">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162060">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162060">
            <w:pPr>
              <w:pStyle w:val="Spacer"/>
            </w:pPr>
          </w:p>
        </w:tc>
      </w:tr>
      <w:tr w:rsidR="00226EE2" w:rsidRPr="003A3769" w:rsidTr="00162060">
        <w:trPr>
          <w:cantSplit/>
        </w:trPr>
        <w:tc>
          <w:tcPr>
            <w:tcW w:w="1928" w:type="dxa"/>
            <w:tcMar>
              <w:right w:w="227" w:type="dxa"/>
            </w:tcMar>
          </w:tcPr>
          <w:p w:rsidR="00226EE2" w:rsidRPr="003A3769" w:rsidRDefault="00226EE2" w:rsidP="00162060">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162060">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162060">
            <w:pPr>
              <w:pStyle w:val="Bullet"/>
              <w:rPr>
                <w:i/>
                <w:iCs/>
              </w:rPr>
            </w:pPr>
            <w:r w:rsidRPr="003A3769">
              <w:rPr>
                <w:i/>
                <w:iCs/>
              </w:rPr>
              <w:t>Including people with disabilities: Information for the CDEM Sector [IS 13/13]</w:t>
            </w:r>
          </w:p>
          <w:p w:rsidR="00226EE2" w:rsidRDefault="00226EE2" w:rsidP="00162060">
            <w:pPr>
              <w:pStyle w:val="Bullet"/>
              <w:rPr>
                <w:i/>
                <w:iCs/>
              </w:rPr>
            </w:pPr>
            <w:r w:rsidRPr="003A3769">
              <w:rPr>
                <w:i/>
                <w:iCs/>
              </w:rPr>
              <w:t>Including culturally and linguistically diverse (CALD) communities: Information for the CDEM Sector [IS12/13].</w:t>
            </w:r>
          </w:p>
          <w:p w:rsidR="00226EE2" w:rsidRDefault="00226EE2" w:rsidP="00162060">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162060">
            <w:r>
              <w:t xml:space="preserve">These are available at </w:t>
            </w:r>
            <w:hyperlink r:id="rId27"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39" w:name="_Toc433815251"/>
      <w:r w:rsidRPr="003A3769">
        <w:t>Working with communities</w:t>
      </w:r>
      <w:bookmarkEnd w:id="3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162060">
        <w:trPr>
          <w:cantSplit/>
        </w:trPr>
        <w:tc>
          <w:tcPr>
            <w:tcW w:w="2000" w:type="dxa"/>
            <w:tcMar>
              <w:right w:w="227" w:type="dxa"/>
            </w:tcMar>
          </w:tcPr>
          <w:p w:rsidR="00226EE2" w:rsidRPr="003A3769" w:rsidRDefault="00226EE2" w:rsidP="00162060">
            <w:pPr>
              <w:pStyle w:val="LHcolumn"/>
            </w:pPr>
            <w:r w:rsidRPr="003A3769">
              <w:t>An inclusive approach</w:t>
            </w:r>
          </w:p>
        </w:tc>
        <w:tc>
          <w:tcPr>
            <w:tcW w:w="7633" w:type="dxa"/>
          </w:tcPr>
          <w:p w:rsidR="00226EE2" w:rsidRDefault="00226EE2" w:rsidP="00162060">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162060">
            <w:pPr>
              <w:pStyle w:val="Bullet"/>
            </w:pPr>
            <w:r>
              <w:t>specific challenges to address</w:t>
            </w:r>
          </w:p>
          <w:p w:rsidR="00226EE2" w:rsidRDefault="00226EE2" w:rsidP="00162060">
            <w:pPr>
              <w:pStyle w:val="Bullet"/>
            </w:pPr>
            <w:proofErr w:type="gramStart"/>
            <w:r>
              <w:t>skills</w:t>
            </w:r>
            <w:proofErr w:type="gramEnd"/>
            <w:r>
              <w:t xml:space="preserve"> and strengths that may contribute to welfare services delivery.</w:t>
            </w:r>
          </w:p>
          <w:p w:rsidR="00226EE2" w:rsidRPr="003A3769" w:rsidRDefault="00226EE2" w:rsidP="00162060">
            <w:pPr>
              <w:pStyle w:val="Spacer"/>
            </w:pPr>
          </w:p>
        </w:tc>
      </w:tr>
      <w:tr w:rsidR="00226EE2" w:rsidRPr="003A3769" w:rsidTr="00162060">
        <w:trPr>
          <w:cantSplit/>
        </w:trPr>
        <w:tc>
          <w:tcPr>
            <w:tcW w:w="2000" w:type="dxa"/>
            <w:tcMar>
              <w:right w:w="227" w:type="dxa"/>
            </w:tcMar>
          </w:tcPr>
          <w:p w:rsidR="00226EE2" w:rsidRPr="003A3769" w:rsidRDefault="00226EE2" w:rsidP="00162060">
            <w:pPr>
              <w:pStyle w:val="LHcolumn"/>
            </w:pPr>
            <w:r>
              <w:t>Considerations</w:t>
            </w:r>
          </w:p>
        </w:tc>
        <w:tc>
          <w:tcPr>
            <w:tcW w:w="7633" w:type="dxa"/>
          </w:tcPr>
          <w:p w:rsidR="00226EE2" w:rsidRPr="003A3769" w:rsidRDefault="00226EE2" w:rsidP="00162060">
            <w:r w:rsidRPr="003A3769">
              <w:t>Consider when planning:</w:t>
            </w:r>
          </w:p>
          <w:p w:rsidR="00226EE2" w:rsidRPr="003A3769" w:rsidRDefault="00226EE2" w:rsidP="00162060">
            <w:pPr>
              <w:pStyle w:val="Bullet"/>
            </w:pPr>
            <w:r w:rsidRPr="003A3769">
              <w:t>age</w:t>
            </w:r>
          </w:p>
          <w:p w:rsidR="00226EE2" w:rsidRPr="003A3769" w:rsidRDefault="00226EE2" w:rsidP="00162060">
            <w:pPr>
              <w:pStyle w:val="Bullet"/>
            </w:pPr>
            <w:r w:rsidRPr="003A3769">
              <w:t>gender</w:t>
            </w:r>
          </w:p>
          <w:p w:rsidR="00226EE2" w:rsidRPr="003A3769" w:rsidRDefault="00226EE2" w:rsidP="00162060">
            <w:pPr>
              <w:pStyle w:val="Bullet"/>
            </w:pPr>
            <w:r w:rsidRPr="003A3769">
              <w:t>children and young people</w:t>
            </w:r>
          </w:p>
          <w:p w:rsidR="00226EE2" w:rsidRPr="003A3769" w:rsidRDefault="00226EE2" w:rsidP="00162060">
            <w:pPr>
              <w:pStyle w:val="Bullet"/>
            </w:pPr>
            <w:r w:rsidRPr="003A3769">
              <w:t>people living alone</w:t>
            </w:r>
          </w:p>
          <w:p w:rsidR="00226EE2" w:rsidRPr="003A3769" w:rsidRDefault="00226EE2" w:rsidP="00162060">
            <w:pPr>
              <w:pStyle w:val="Bullet"/>
            </w:pPr>
            <w:r w:rsidRPr="003A3769">
              <w:t>elderly</w:t>
            </w:r>
          </w:p>
          <w:p w:rsidR="00226EE2" w:rsidRPr="003A3769" w:rsidRDefault="00226EE2" w:rsidP="00162060">
            <w:pPr>
              <w:pStyle w:val="Bullet"/>
              <w:rPr>
                <w:b/>
              </w:rPr>
            </w:pPr>
            <w:r w:rsidRPr="003A3769">
              <w:t>health and disability issues</w:t>
            </w:r>
          </w:p>
          <w:p w:rsidR="00226EE2" w:rsidRPr="003A3769" w:rsidRDefault="00226EE2" w:rsidP="00162060">
            <w:pPr>
              <w:pStyle w:val="Bullet"/>
            </w:pPr>
            <w:r w:rsidRPr="003A3769">
              <w:t>mental health and general health issues</w:t>
            </w:r>
          </w:p>
          <w:p w:rsidR="00226EE2" w:rsidRPr="003A3769" w:rsidRDefault="00226EE2" w:rsidP="00162060">
            <w:pPr>
              <w:pStyle w:val="Bullet"/>
            </w:pPr>
            <w:r w:rsidRPr="003A3769">
              <w:t>drug or alcohol dependency</w:t>
            </w:r>
          </w:p>
          <w:p w:rsidR="00226EE2" w:rsidRPr="003A3769" w:rsidRDefault="00226EE2" w:rsidP="00162060">
            <w:pPr>
              <w:pStyle w:val="Bullet"/>
            </w:pPr>
            <w:r w:rsidRPr="003A3769">
              <w:t>cultural requirements</w:t>
            </w:r>
          </w:p>
          <w:p w:rsidR="00226EE2" w:rsidRPr="003A3769" w:rsidRDefault="00226EE2" w:rsidP="00162060">
            <w:pPr>
              <w:pStyle w:val="Bullet"/>
            </w:pPr>
            <w:r w:rsidRPr="003A3769">
              <w:t>ethnicity and language</w:t>
            </w:r>
          </w:p>
          <w:p w:rsidR="00226EE2" w:rsidRPr="003A3769" w:rsidRDefault="00226EE2" w:rsidP="00162060">
            <w:pPr>
              <w:pStyle w:val="Bullet"/>
              <w:rPr>
                <w:b/>
              </w:rPr>
            </w:pPr>
            <w:r w:rsidRPr="003A3769">
              <w:t>socio-economic status</w:t>
            </w:r>
          </w:p>
          <w:p w:rsidR="00226EE2" w:rsidRPr="003A3769" w:rsidRDefault="00226EE2" w:rsidP="00162060">
            <w:pPr>
              <w:pStyle w:val="Bullet"/>
            </w:pPr>
            <w:r w:rsidRPr="003A3769">
              <w:t>people with companion animals</w:t>
            </w:r>
          </w:p>
          <w:p w:rsidR="00226EE2" w:rsidRPr="003A3769" w:rsidRDefault="00226EE2" w:rsidP="00162060">
            <w:pPr>
              <w:pStyle w:val="Bullet"/>
              <w:rPr>
                <w:b/>
              </w:rPr>
            </w:pPr>
            <w:r w:rsidRPr="003A3769">
              <w:t>isolation, and</w:t>
            </w:r>
          </w:p>
          <w:p w:rsidR="00226EE2" w:rsidRDefault="00226EE2" w:rsidP="00162060">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162060">
            <w:pPr>
              <w:pStyle w:val="Spacer"/>
            </w:pPr>
          </w:p>
        </w:tc>
      </w:tr>
      <w:tr w:rsidR="00226EE2" w:rsidRPr="003A3769" w:rsidTr="00162060">
        <w:trPr>
          <w:cantSplit/>
        </w:trPr>
        <w:tc>
          <w:tcPr>
            <w:tcW w:w="2000" w:type="dxa"/>
            <w:tcMar>
              <w:right w:w="227" w:type="dxa"/>
            </w:tcMar>
          </w:tcPr>
          <w:p w:rsidR="00226EE2" w:rsidRPr="003A3769" w:rsidRDefault="00226EE2" w:rsidP="00162060">
            <w:pPr>
              <w:pStyle w:val="LHcolumn"/>
            </w:pPr>
            <w:r w:rsidRPr="003A3769">
              <w:lastRenderedPageBreak/>
              <w:t>Utilising community networks</w:t>
            </w:r>
          </w:p>
        </w:tc>
        <w:tc>
          <w:tcPr>
            <w:tcW w:w="7633" w:type="dxa"/>
          </w:tcPr>
          <w:p w:rsidR="00226EE2" w:rsidRPr="003A3769" w:rsidRDefault="00226EE2" w:rsidP="00162060">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162060">
            <w:pPr>
              <w:pStyle w:val="Spacer"/>
            </w:pPr>
          </w:p>
        </w:tc>
      </w:tr>
      <w:tr w:rsidR="00226EE2" w:rsidRPr="003A3769" w:rsidTr="00162060">
        <w:trPr>
          <w:cantSplit/>
          <w:trHeight w:val="2421"/>
        </w:trPr>
        <w:tc>
          <w:tcPr>
            <w:tcW w:w="2000" w:type="dxa"/>
            <w:tcMar>
              <w:right w:w="227" w:type="dxa"/>
            </w:tcMar>
          </w:tcPr>
          <w:p w:rsidR="00226EE2" w:rsidRPr="003A3769" w:rsidRDefault="00226EE2" w:rsidP="00162060">
            <w:pPr>
              <w:pStyle w:val="LHcolumn"/>
              <w:rPr>
                <w:b w:val="0"/>
              </w:rPr>
            </w:pPr>
            <w:r w:rsidRPr="003A3769">
              <w:t>Culturally and linguistically diverse (CALD) communities</w:t>
            </w:r>
          </w:p>
        </w:tc>
        <w:tc>
          <w:tcPr>
            <w:tcW w:w="7633" w:type="dxa"/>
          </w:tcPr>
          <w:p w:rsidR="00226EE2" w:rsidRPr="003A3769" w:rsidRDefault="00226EE2" w:rsidP="00162060">
            <w:r w:rsidRPr="003A3769">
              <w:t xml:space="preserve">CALD communities have many strengths, including skills, experience, and language capabilities. </w:t>
            </w:r>
          </w:p>
          <w:p w:rsidR="00226EE2" w:rsidRPr="003A3769" w:rsidRDefault="00226EE2" w:rsidP="00162060">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162060">
            <w:pPr>
              <w:pStyle w:val="Spacer"/>
            </w:pPr>
          </w:p>
        </w:tc>
      </w:tr>
      <w:tr w:rsidR="00226EE2" w:rsidRPr="003A3769" w:rsidTr="00162060">
        <w:trPr>
          <w:cantSplit/>
          <w:trHeight w:val="2705"/>
        </w:trPr>
        <w:tc>
          <w:tcPr>
            <w:tcW w:w="2000" w:type="dxa"/>
            <w:tcMar>
              <w:right w:w="227" w:type="dxa"/>
            </w:tcMar>
          </w:tcPr>
          <w:p w:rsidR="00226EE2" w:rsidRPr="003A3769" w:rsidRDefault="00226EE2" w:rsidP="00162060">
            <w:pPr>
              <w:pStyle w:val="LHcolumn"/>
            </w:pPr>
            <w:r w:rsidRPr="003A3769">
              <w:t>People with disabilities</w:t>
            </w:r>
          </w:p>
        </w:tc>
        <w:tc>
          <w:tcPr>
            <w:tcW w:w="7633" w:type="dxa"/>
          </w:tcPr>
          <w:p w:rsidR="00226EE2" w:rsidRPr="003A3769" w:rsidRDefault="00226EE2" w:rsidP="00162060">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162060">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162060">
            <w:pPr>
              <w:pStyle w:val="Paragraphspacer"/>
            </w:pPr>
          </w:p>
        </w:tc>
      </w:tr>
    </w:tbl>
    <w:p w:rsidR="00226EE2" w:rsidRPr="003A3769" w:rsidRDefault="00226EE2" w:rsidP="00226EE2"/>
    <w:p w:rsidR="00226EE2" w:rsidRPr="003A3769" w:rsidRDefault="00226EE2" w:rsidP="00226EE2">
      <w:pPr>
        <w:pStyle w:val="Heading7"/>
      </w:pPr>
      <w:bookmarkStart w:id="40" w:name="_Ref421783306"/>
      <w:bookmarkStart w:id="41" w:name="_Ref421783314"/>
      <w:bookmarkStart w:id="42" w:name="_Ref421783321"/>
      <w:bookmarkStart w:id="43" w:name="_Toc433815252"/>
      <w:r w:rsidRPr="003A3769">
        <w:t>Minimum standards in the Sphere Handbook</w:t>
      </w:r>
      <w:bookmarkEnd w:id="40"/>
      <w:bookmarkEnd w:id="41"/>
      <w:bookmarkEnd w:id="42"/>
      <w:bookmarkEnd w:id="4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5"/>
        <w:gridCol w:w="7269"/>
      </w:tblGrid>
      <w:tr w:rsidR="00226EE2" w:rsidRPr="003A3769" w:rsidTr="00162060">
        <w:trPr>
          <w:cantSplit/>
        </w:trPr>
        <w:tc>
          <w:tcPr>
            <w:tcW w:w="1865" w:type="dxa"/>
            <w:tcMar>
              <w:right w:w="227" w:type="dxa"/>
            </w:tcMar>
          </w:tcPr>
          <w:p w:rsidR="00226EE2" w:rsidRPr="003A3769" w:rsidRDefault="00226EE2" w:rsidP="00162060">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269" w:type="dxa"/>
          </w:tcPr>
          <w:p w:rsidR="00226EE2" w:rsidRDefault="00226EE2" w:rsidP="00162060">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162060">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162060">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162060">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28"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162060">
            <w:pPr>
              <w:pStyle w:val="Spacer"/>
            </w:pPr>
          </w:p>
        </w:tc>
      </w:tr>
      <w:tr w:rsidR="00226EE2" w:rsidRPr="003A3769" w:rsidTr="00162060">
        <w:trPr>
          <w:cantSplit/>
        </w:trPr>
        <w:tc>
          <w:tcPr>
            <w:tcW w:w="1865" w:type="dxa"/>
            <w:tcMar>
              <w:right w:w="227" w:type="dxa"/>
            </w:tcMar>
          </w:tcPr>
          <w:p w:rsidR="00226EE2" w:rsidRPr="003A3769" w:rsidRDefault="00226EE2" w:rsidP="00162060">
            <w:pPr>
              <w:pStyle w:val="LHcolumn"/>
              <w:rPr>
                <w:noProof/>
              </w:rPr>
            </w:pPr>
            <w:r w:rsidRPr="003A3769">
              <w:rPr>
                <w:noProof/>
              </w:rPr>
              <w:lastRenderedPageBreak/>
              <w:t>Key considerations</w:t>
            </w:r>
          </w:p>
        </w:tc>
        <w:tc>
          <w:tcPr>
            <w:tcW w:w="7269" w:type="dxa"/>
          </w:tcPr>
          <w:p w:rsidR="00226EE2" w:rsidRPr="003A3769" w:rsidRDefault="00226EE2" w:rsidP="00162060">
            <w:r w:rsidRPr="003A3769">
              <w:t xml:space="preserve">Some of the key requirements (taken from the Sphere Handbook) to be considered when planning for people affected by an emergency are </w:t>
            </w:r>
            <w:r>
              <w:t xml:space="preserve">shown in </w:t>
            </w:r>
            <w:r w:rsidR="007651A7">
              <w:fldChar w:fldCharType="begin"/>
            </w:r>
            <w:r>
              <w:instrText xml:space="preserve"> REF _Ref430697173 \h </w:instrText>
            </w:r>
            <w:r w:rsidR="007651A7">
              <w:fldChar w:fldCharType="separate"/>
            </w:r>
            <w:r w:rsidR="00A3012C" w:rsidRPr="003A3769">
              <w:t xml:space="preserve">Table </w:t>
            </w:r>
            <w:r w:rsidR="00A3012C">
              <w:rPr>
                <w:noProof/>
              </w:rPr>
              <w:t>1</w:t>
            </w:r>
            <w:r w:rsidR="007651A7">
              <w:fldChar w:fldCharType="end"/>
            </w:r>
            <w:r w:rsidRPr="003A3769">
              <w:t>.</w:t>
            </w:r>
          </w:p>
          <w:p w:rsidR="00226EE2" w:rsidRPr="003A3769" w:rsidRDefault="00226EE2" w:rsidP="00162060">
            <w:pPr>
              <w:pStyle w:val="Caption"/>
              <w:keepNext/>
            </w:pPr>
            <w:bookmarkStart w:id="44" w:name="_Ref430697173"/>
            <w:r w:rsidRPr="003A3769">
              <w:t xml:space="preserve">Table </w:t>
            </w:r>
            <w:r w:rsidR="007651A7">
              <w:fldChar w:fldCharType="begin"/>
            </w:r>
            <w:r w:rsidR="00351061">
              <w:instrText xml:space="preserve"> SEQ Table \* ARABIC </w:instrText>
            </w:r>
            <w:r w:rsidR="007651A7">
              <w:fldChar w:fldCharType="separate"/>
            </w:r>
            <w:r w:rsidR="00A3012C">
              <w:rPr>
                <w:noProof/>
              </w:rPr>
              <w:t>1</w:t>
            </w:r>
            <w:r w:rsidR="007651A7">
              <w:rPr>
                <w:noProof/>
              </w:rPr>
              <w:fldChar w:fldCharType="end"/>
            </w:r>
            <w:bookmarkEnd w:id="44"/>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19"/>
              <w:gridCol w:w="4304"/>
            </w:tblGrid>
            <w:tr w:rsidR="00226EE2" w:rsidRPr="003A3769" w:rsidTr="00162060">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162060">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162060">
                  <w:pPr>
                    <w:pStyle w:val="Tableheading"/>
                  </w:pPr>
                  <w:r w:rsidRPr="003A3769">
                    <w:t>Key requirements</w:t>
                  </w:r>
                </w:p>
              </w:tc>
            </w:tr>
            <w:tr w:rsidR="00226EE2" w:rsidRPr="003A3769" w:rsidTr="00162060">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162060">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Poor health, disease and wellbeing</w:t>
                  </w:r>
                </w:p>
              </w:tc>
            </w:tr>
            <w:tr w:rsidR="00226EE2" w:rsidRPr="003A3769" w:rsidTr="00162060">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Environment, weather, heat or cold</w:t>
                  </w:r>
                </w:p>
              </w:tc>
            </w:tr>
            <w:tr w:rsidR="00226EE2" w:rsidRPr="003A3769" w:rsidTr="00162060">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Violence, crime or abuse</w:t>
                  </w:r>
                </w:p>
              </w:tc>
            </w:tr>
            <w:tr w:rsidR="00226EE2" w:rsidRPr="003A3769" w:rsidTr="00162060">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Dangerous structures</w:t>
                  </w:r>
                </w:p>
              </w:tc>
            </w:tr>
            <w:tr w:rsidR="00226EE2" w:rsidRPr="003A3769" w:rsidTr="00162060">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162060">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Clean drinking water</w:t>
                  </w:r>
                </w:p>
              </w:tc>
            </w:tr>
            <w:tr w:rsidR="00226EE2" w:rsidRPr="003A3769" w:rsidTr="00162060">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Food, baby food and pet food</w:t>
                  </w:r>
                </w:p>
              </w:tc>
            </w:tr>
            <w:tr w:rsidR="00226EE2" w:rsidRPr="003A3769" w:rsidTr="00162060">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Cooking facilities, utensils and fuel</w:t>
                  </w:r>
                </w:p>
              </w:tc>
            </w:tr>
            <w:tr w:rsidR="00226EE2" w:rsidRPr="003A3769" w:rsidTr="00162060">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162060">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Clean water for washing</w:t>
                  </w:r>
                </w:p>
              </w:tc>
            </w:tr>
            <w:tr w:rsidR="00226EE2" w:rsidRPr="003A3769" w:rsidTr="00162060">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162060">
                  <w:pPr>
                    <w:pStyle w:val="Tablenormal0"/>
                  </w:pPr>
                  <w:r w:rsidRPr="003A3769">
                    <w:t>Waste water, solid waste</w:t>
                  </w:r>
                </w:p>
              </w:tc>
            </w:tr>
            <w:tr w:rsidR="00226EE2" w:rsidRPr="003A3769" w:rsidTr="00162060">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162060">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162060">
                  <w:pPr>
                    <w:pStyle w:val="Tablenormal0"/>
                  </w:pPr>
                  <w:r w:rsidRPr="003A3769">
                    <w:t>Hygiene, nappies, soap and disinfectant</w:t>
                  </w:r>
                </w:p>
              </w:tc>
            </w:tr>
          </w:tbl>
          <w:p w:rsidR="00226EE2" w:rsidRPr="003A3769" w:rsidRDefault="00226EE2" w:rsidP="00162060"/>
        </w:tc>
      </w:tr>
    </w:tbl>
    <w:p w:rsidR="00226EE2" w:rsidRPr="003A3769" w:rsidRDefault="00226EE2" w:rsidP="00226EE2"/>
    <w:p w:rsidR="00226EE2" w:rsidRPr="003A3769" w:rsidRDefault="00226EE2" w:rsidP="00226EE2">
      <w:pPr>
        <w:pStyle w:val="Heading7"/>
      </w:pPr>
      <w:bookmarkStart w:id="45" w:name="_Ref419707546"/>
      <w:bookmarkStart w:id="46" w:name="_Ref419707556"/>
      <w:bookmarkStart w:id="47" w:name="_Ref419707773"/>
      <w:bookmarkStart w:id="48" w:name="_Ref419707777"/>
      <w:bookmarkStart w:id="49" w:name="_Ref419707784"/>
      <w:bookmarkStart w:id="50" w:name="_Toc433815253"/>
      <w:r w:rsidRPr="003A3769">
        <w:t>Privacy, information sharing, and vetting</w:t>
      </w:r>
      <w:bookmarkEnd w:id="45"/>
      <w:bookmarkEnd w:id="46"/>
      <w:bookmarkEnd w:id="47"/>
      <w:bookmarkEnd w:id="48"/>
      <w:bookmarkEnd w:id="49"/>
      <w:bookmarkEnd w:id="5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162060">
        <w:trPr>
          <w:cantSplit/>
        </w:trPr>
        <w:tc>
          <w:tcPr>
            <w:tcW w:w="1927" w:type="dxa"/>
            <w:tcMar>
              <w:right w:w="227" w:type="dxa"/>
            </w:tcMar>
          </w:tcPr>
          <w:p w:rsidR="00226EE2" w:rsidRPr="003A3769" w:rsidRDefault="00226EE2" w:rsidP="00162060">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162060">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162060">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162060">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162060">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162060">
            <w:r w:rsidRPr="003A3769">
              <w:t xml:space="preserve">The </w:t>
            </w:r>
            <w:r w:rsidRPr="003A3769">
              <w:rPr>
                <w:i/>
                <w:iCs/>
              </w:rPr>
              <w:t>Privacy Act 1993</w:t>
            </w:r>
            <w:r w:rsidRPr="003A3769">
              <w:t xml:space="preserve"> is available at the New Zealand Legislation website: </w:t>
            </w:r>
            <w:hyperlink r:id="rId29"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30" w:history="1">
              <w:r w:rsidRPr="003A3769">
                <w:rPr>
                  <w:rStyle w:val="Hyperlink"/>
                </w:rPr>
                <w:t>www.privacy.org.nz</w:t>
              </w:r>
            </w:hyperlink>
            <w:r w:rsidR="00A3012C">
              <w:t xml:space="preserve">. </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lastRenderedPageBreak/>
              <w:t>Civil Defence National Emergencies (Information Sharing) Code 2013</w:t>
            </w:r>
          </w:p>
          <w:p w:rsidR="00226EE2" w:rsidRPr="003A3769" w:rsidRDefault="00226EE2" w:rsidP="00162060">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162060">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162060">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162060">
            <w:r>
              <w:t xml:space="preserve">The Information Sharing Code applies </w:t>
            </w:r>
            <w:r w:rsidRPr="003A3769">
              <w:t>as follows:</w:t>
            </w:r>
          </w:p>
          <w:p w:rsidR="00226EE2" w:rsidRPr="003A3769" w:rsidRDefault="00226EE2" w:rsidP="00162060">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162060">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162060">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1" w:history="1">
              <w:r w:rsidRPr="003A3769">
                <w:rPr>
                  <w:rStyle w:val="Hyperlink"/>
                </w:rPr>
                <w:t>www.privacy.org.nz</w:t>
              </w:r>
            </w:hyperlink>
            <w:r w:rsidRPr="003A3769">
              <w:t>.</w:t>
            </w:r>
          </w:p>
          <w:p w:rsidR="00226EE2" w:rsidRDefault="00226EE2" w:rsidP="00162060">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162060">
            <w:pPr>
              <w:pStyle w:val="Spacer"/>
            </w:pPr>
          </w:p>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Police Vetting Service</w:t>
            </w:r>
          </w:p>
          <w:p w:rsidR="00226EE2" w:rsidRPr="003A3769" w:rsidRDefault="00226EE2" w:rsidP="00162060">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162060">
            <w:r w:rsidRPr="003A3769">
              <w:t>The New Zealand Police Vetting Service offers an online process for approved organisations to check the criminal records of potential or existing personnel, including volunteers.</w:t>
            </w:r>
          </w:p>
          <w:p w:rsidR="00226EE2" w:rsidRPr="003A3769" w:rsidRDefault="00226EE2" w:rsidP="00162060">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162060">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162060">
            <w:r w:rsidRPr="003A3769">
              <w:t>The standard turnaround time for completing a Police vetting process is 20 working days.</w:t>
            </w:r>
          </w:p>
          <w:p w:rsidR="00226EE2" w:rsidRPr="003A3769" w:rsidRDefault="00226EE2" w:rsidP="00162060">
            <w:r w:rsidRPr="003A3769">
              <w:t>Police recommend that vetting of existing personnel including volunteers, is carried out on a regular basis, i.e. every two to three years.</w:t>
            </w:r>
          </w:p>
          <w:p w:rsidR="00226EE2" w:rsidRPr="003A3769" w:rsidRDefault="00226EE2" w:rsidP="00162060">
            <w:r w:rsidRPr="003A3769">
              <w:t>An organisation must have information security procedures in place to protect the confidential information and any Police material they hold as a result of the vetting process.</w:t>
            </w:r>
          </w:p>
          <w:p w:rsidR="00226EE2" w:rsidRPr="003A3769" w:rsidRDefault="00226EE2" w:rsidP="00162060">
            <w:r w:rsidRPr="003A3769">
              <w:t xml:space="preserve">More information about Police vetting is available at </w:t>
            </w:r>
            <w:hyperlink r:id="rId32" w:history="1">
              <w:r w:rsidRPr="003A3769">
                <w:rPr>
                  <w:rStyle w:val="Hyperlink"/>
                </w:rPr>
                <w:t>www.police.govt.nz</w:t>
              </w:r>
            </w:hyperlink>
            <w:r w:rsidRPr="003A3769">
              <w:t>.</w:t>
            </w:r>
          </w:p>
          <w:p w:rsidR="00226EE2" w:rsidRPr="0072052A" w:rsidRDefault="00226EE2" w:rsidP="00162060"/>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lastRenderedPageBreak/>
              <w:t>Safety checking for the children’s workforce</w:t>
            </w:r>
          </w:p>
          <w:p w:rsidR="00226EE2" w:rsidRPr="003A3769" w:rsidRDefault="00226EE2" w:rsidP="00162060">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162060">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162060">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162060">
            <w:r w:rsidRPr="003A3769">
              <w:t xml:space="preserve">The </w:t>
            </w:r>
            <w:r w:rsidRPr="003A3769">
              <w:rPr>
                <w:i/>
                <w:iCs/>
              </w:rPr>
              <w:t>Vulnerable Children Act 2014</w:t>
            </w:r>
            <w:r w:rsidRPr="003A3769">
              <w:t xml:space="preserve"> is available at the New Zealand Legislation website: </w:t>
            </w:r>
            <w:hyperlink r:id="rId33"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4" w:history="1">
              <w:r w:rsidRPr="003A3769">
                <w:rPr>
                  <w:rStyle w:val="Hyperlink"/>
                </w:rPr>
                <w:t>www.childrensactionplan.govt.nz</w:t>
              </w:r>
            </w:hyperlink>
            <w:r w:rsidRPr="003A3769">
              <w:t xml:space="preserve">. </w:t>
            </w:r>
          </w:p>
          <w:p w:rsidR="00226EE2" w:rsidRPr="0072052A" w:rsidRDefault="00226EE2" w:rsidP="00162060"/>
        </w:tc>
      </w:tr>
      <w:tr w:rsidR="00226EE2" w:rsidRPr="003A3769" w:rsidTr="00162060">
        <w:trPr>
          <w:cantSplit/>
        </w:trPr>
        <w:tc>
          <w:tcPr>
            <w:tcW w:w="1927" w:type="dxa"/>
            <w:tcMar>
              <w:right w:w="227" w:type="dxa"/>
            </w:tcMar>
          </w:tcPr>
          <w:p w:rsidR="00226EE2" w:rsidRPr="003A3769" w:rsidRDefault="00226EE2" w:rsidP="00162060">
            <w:pPr>
              <w:pStyle w:val="LHcolumn"/>
            </w:pPr>
            <w:r w:rsidRPr="003A3769">
              <w:t>Screening CDEM-trained volunteers</w:t>
            </w:r>
          </w:p>
          <w:p w:rsidR="00226EE2" w:rsidRPr="003A3769" w:rsidRDefault="00226EE2" w:rsidP="00162060">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162060">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5" w:history="1">
              <w:r w:rsidRPr="003A3769">
                <w:rPr>
                  <w:rStyle w:val="Hyperlink"/>
                </w:rPr>
                <w:t>www.civildefence.govt.nz</w:t>
              </w:r>
            </w:hyperlink>
            <w:r>
              <w:t xml:space="preserve"> (search for ‘volunteer coordination DGL’).</w:t>
            </w:r>
          </w:p>
          <w:p w:rsidR="00226EE2" w:rsidRPr="003A3769" w:rsidRDefault="00226EE2" w:rsidP="00162060">
            <w:pPr>
              <w:pStyle w:val="Paragraphspacer"/>
            </w:pPr>
          </w:p>
        </w:tc>
      </w:tr>
    </w:tbl>
    <w:p w:rsidR="00A75E5F" w:rsidRPr="00226EE2" w:rsidRDefault="00A75E5F" w:rsidP="00226EE2"/>
    <w:sectPr w:rsidR="00A75E5F" w:rsidRPr="00226EE2" w:rsidSect="00226EE2">
      <w:headerReference w:type="default" r:id="rId36"/>
      <w:footerReference w:type="default" r:id="rId37"/>
      <w:pgSz w:w="11907" w:h="16840" w:code="9"/>
      <w:pgMar w:top="1191" w:right="1021" w:bottom="794" w:left="1361" w:header="567"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5F" w:rsidRDefault="00A75E5F" w:rsidP="003C4DF1">
      <w:r>
        <w:separator/>
      </w:r>
    </w:p>
    <w:p w:rsidR="00A75E5F" w:rsidRDefault="00A75E5F"/>
  </w:endnote>
  <w:endnote w:type="continuationSeparator" w:id="0">
    <w:p w:rsidR="00A75E5F" w:rsidRDefault="00A75E5F" w:rsidP="003C4DF1">
      <w:r>
        <w:continuationSeparator/>
      </w:r>
    </w:p>
    <w:p w:rsidR="00A75E5F" w:rsidRDefault="00A75E5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Pr="00E7508E" w:rsidRDefault="001B1363"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B5" w:rsidRDefault="00124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Default="001B1363">
    <w:pPr>
      <w:spacing w:before="1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Pr="00C9618C" w:rsidRDefault="007651A7" w:rsidP="001244B5">
    <w:pPr>
      <w:tabs>
        <w:tab w:val="left" w:pos="284"/>
        <w:tab w:val="left" w:pos="426"/>
        <w:tab w:val="right" w:pos="9498"/>
        <w:tab w:val="right" w:pos="14742"/>
        <w:tab w:val="right" w:pos="15168"/>
      </w:tabs>
      <w:rPr>
        <w:rStyle w:val="MCDEMfooterevencode"/>
      </w:rPr>
    </w:pPr>
    <w:r>
      <w:rPr>
        <w:rStyle w:val="MCDEMfooterpagenumber"/>
      </w:rPr>
      <w:fldChar w:fldCharType="begin"/>
    </w:r>
    <w:r w:rsidR="005B276C">
      <w:rPr>
        <w:rStyle w:val="MCDEMfooterpagenumber"/>
      </w:rPr>
      <w:instrText xml:space="preserve"> PAGE   \* MERGEFORMAT </w:instrText>
    </w:r>
    <w:r>
      <w:rPr>
        <w:rStyle w:val="MCDEMfooterpagenumber"/>
      </w:rPr>
      <w:fldChar w:fldCharType="separate"/>
    </w:r>
    <w:r w:rsidR="00271261">
      <w:rPr>
        <w:rStyle w:val="MCDEMfooterpagenumber"/>
        <w:noProof/>
      </w:rPr>
      <w:t>ii</w:t>
    </w:r>
    <w:r>
      <w:rPr>
        <w:rStyle w:val="MCDEMfooterpagenumber"/>
      </w:rPr>
      <w:fldChar w:fldCharType="end"/>
    </w:r>
    <w:r w:rsidR="001244B5">
      <w:rPr>
        <w:rStyle w:val="MCDEMfooteroddcode"/>
      </w:rPr>
      <w:tab/>
    </w:r>
    <w:r w:rsidR="00EA649B">
      <w:rPr>
        <w:rStyle w:val="MCDEMfooteroddChar"/>
      </w:rPr>
      <w:t xml:space="preserve">Part II Section 6 </w:t>
    </w:r>
    <w:r w:rsidR="00226EE2" w:rsidRPr="00226EE2">
      <w:rPr>
        <w:rStyle w:val="MCDEMfooteroddChar"/>
      </w:rPr>
      <w:t>Registration</w:t>
    </w:r>
    <w:r w:rsidR="005B276C">
      <w:rPr>
        <w:rStyle w:val="MCDEMfooteroddcode"/>
      </w:rPr>
      <w:tab/>
    </w:r>
    <w:r w:rsidR="00C9618C" w:rsidRPr="00C9618C">
      <w:rPr>
        <w:rStyle w:val="MCDEMfooterevencode"/>
      </w:rPr>
      <w:t>Welfare Services in an Emergency [DGL 11/15]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6C" w:rsidRPr="00C9618C" w:rsidRDefault="00C9618C"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00EA649B">
      <w:rPr>
        <w:rStyle w:val="MCDEMfooteroddChar"/>
      </w:rPr>
      <w:t xml:space="preserve">Part II Section 6 </w:t>
    </w:r>
    <w:r w:rsidR="00152001" w:rsidRPr="00152001">
      <w:rPr>
        <w:rStyle w:val="MCDEMfooteroddChar"/>
      </w:rPr>
      <w:t>Registration</w:t>
    </w:r>
    <w:r>
      <w:rPr>
        <w:rStyle w:val="MCDEMfooteroddcode"/>
      </w:rPr>
      <w:tab/>
    </w:r>
    <w:r w:rsidR="007651A7" w:rsidRPr="001D3D08">
      <w:rPr>
        <w:rStyle w:val="MCDEMfooterpagenumber"/>
      </w:rPr>
      <w:fldChar w:fldCharType="begin"/>
    </w:r>
    <w:r w:rsidRPr="001D3D08">
      <w:rPr>
        <w:rStyle w:val="MCDEMfooterpagenumber"/>
      </w:rPr>
      <w:instrText xml:space="preserve"> PAGE   \* MERGEFORMAT </w:instrText>
    </w:r>
    <w:r w:rsidR="007651A7" w:rsidRPr="001D3D08">
      <w:rPr>
        <w:rStyle w:val="MCDEMfooterpagenumber"/>
      </w:rPr>
      <w:fldChar w:fldCharType="separate"/>
    </w:r>
    <w:r w:rsidR="00271261">
      <w:rPr>
        <w:rStyle w:val="MCDEMfooterpagenumber"/>
        <w:noProof/>
      </w:rPr>
      <w:t>i</w:t>
    </w:r>
    <w:r w:rsidR="007651A7" w:rsidRPr="001D3D08">
      <w:rPr>
        <w:rStyle w:val="MCDEMfooter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E7" w:rsidRPr="00C9618C" w:rsidRDefault="00F55AE7"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00EA649B">
      <w:rPr>
        <w:rStyle w:val="MCDEMfooteroddChar"/>
      </w:rPr>
      <w:t xml:space="preserve">Part II Section 6 </w:t>
    </w:r>
    <w:r w:rsidR="00226EE2" w:rsidRPr="00226EE2">
      <w:rPr>
        <w:rStyle w:val="MCDEMfooteroddChar"/>
      </w:rPr>
      <w:t>Registration</w:t>
    </w:r>
    <w:r>
      <w:rPr>
        <w:rStyle w:val="MCDEMfooteroddcode"/>
      </w:rPr>
      <w:tab/>
    </w:r>
    <w:r w:rsidR="007651A7" w:rsidRPr="001D3D08">
      <w:rPr>
        <w:rStyle w:val="MCDEMfooterpagenumber"/>
      </w:rPr>
      <w:fldChar w:fldCharType="begin"/>
    </w:r>
    <w:r w:rsidRPr="001D3D08">
      <w:rPr>
        <w:rStyle w:val="MCDEMfooterpagenumber"/>
      </w:rPr>
      <w:instrText xml:space="preserve"> PAGE   \* MERGEFORMAT </w:instrText>
    </w:r>
    <w:r w:rsidR="007651A7" w:rsidRPr="001D3D08">
      <w:rPr>
        <w:rStyle w:val="MCDEMfooterpagenumber"/>
      </w:rPr>
      <w:fldChar w:fldCharType="separate"/>
    </w:r>
    <w:r w:rsidR="00271261">
      <w:rPr>
        <w:rStyle w:val="MCDEMfooterpagenumber"/>
        <w:noProof/>
      </w:rPr>
      <w:t>13</w:t>
    </w:r>
    <w:r w:rsidR="007651A7"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5F" w:rsidRPr="00A5314E" w:rsidRDefault="007651A7" w:rsidP="00734642">
      <w:pPr>
        <w:tabs>
          <w:tab w:val="left" w:pos="567"/>
          <w:tab w:val="right" w:pos="15025"/>
        </w:tabs>
        <w:rPr>
          <w:color w:val="000000" w:themeColor="text1"/>
          <w:sz w:val="16"/>
          <w:szCs w:val="18"/>
        </w:rPr>
      </w:pPr>
      <w:r w:rsidRPr="0038097B">
        <w:rPr>
          <w:rStyle w:val="MCDEMfooterpagenumber"/>
        </w:rPr>
        <w:fldChar w:fldCharType="begin"/>
      </w:r>
      <w:r w:rsidR="00A75E5F" w:rsidRPr="0038097B">
        <w:rPr>
          <w:rStyle w:val="MCDEMfooterpagenumber"/>
        </w:rPr>
        <w:instrText xml:space="preserve"> PAGE </w:instrText>
      </w:r>
      <w:r w:rsidRPr="0038097B">
        <w:rPr>
          <w:rStyle w:val="MCDEMfooterpagenumber"/>
        </w:rPr>
        <w:fldChar w:fldCharType="separate"/>
      </w:r>
      <w:r w:rsidR="00A75E5F">
        <w:rPr>
          <w:rStyle w:val="MCDEMfooterpagenumber"/>
          <w:noProof/>
        </w:rPr>
        <w:t>76</w:t>
      </w:r>
      <w:r w:rsidRPr="0038097B">
        <w:rPr>
          <w:rStyle w:val="MCDEMfooterpagenumber"/>
        </w:rPr>
        <w:fldChar w:fldCharType="end"/>
      </w:r>
      <w:r w:rsidR="00A75E5F" w:rsidRPr="00A5314E">
        <w:t xml:space="preserve"> </w:t>
      </w:r>
      <w:r w:rsidR="00A75E5F" w:rsidRPr="009F6AEB">
        <w:tab/>
      </w:r>
      <w:r w:rsidR="00A75E5F" w:rsidRPr="00531E1F">
        <w:rPr>
          <w:rStyle w:val="MCDEMfooterevenChar"/>
          <w:highlight w:val="green"/>
        </w:rPr>
        <w:t>xxx</w:t>
      </w:r>
      <w:r w:rsidR="00A75E5F" w:rsidRPr="0038097B">
        <w:rPr>
          <w:rStyle w:val="MCDEMfooterevenChar"/>
        </w:rPr>
        <w:t xml:space="preserve"> Director’s Guideline</w:t>
      </w:r>
      <w:r w:rsidR="00A75E5F" w:rsidRPr="009F6AEB">
        <w:t xml:space="preserve"> </w:t>
      </w:r>
      <w:r w:rsidR="00A75E5F" w:rsidRPr="0038097B">
        <w:rPr>
          <w:rStyle w:val="MCDEMfooterevencode"/>
        </w:rPr>
        <w:t xml:space="preserve">[DGL </w:t>
      </w:r>
      <w:r w:rsidR="00A75E5F" w:rsidRPr="00531E1F">
        <w:rPr>
          <w:rStyle w:val="MCDEMfooterevencode"/>
          <w:highlight w:val="green"/>
        </w:rPr>
        <w:t>xx/xx</w:t>
      </w:r>
      <w:r w:rsidR="00A75E5F" w:rsidRPr="0038097B">
        <w:rPr>
          <w:rStyle w:val="MCDEMfooterevencode"/>
        </w:rPr>
        <w:t>]</w:t>
      </w:r>
      <w:r w:rsidR="00A75E5F">
        <w:rPr>
          <w:rStyle w:val="MCDEMfooterevencode"/>
        </w:rPr>
        <w:tab/>
      </w:r>
      <w:fldSimple w:instr=" FILENAME   \* MERGEFORMAT ">
        <w:r w:rsidR="003F619F" w:rsidRPr="003F619F">
          <w:rPr>
            <w:rStyle w:val="MCDEMfooterevencode"/>
            <w:noProof/>
          </w:rPr>
          <w:t>DGL</w:t>
        </w:r>
        <w:r w:rsidR="003F619F">
          <w:rPr>
            <w:noProof/>
          </w:rPr>
          <w:t xml:space="preserve"> 11-15 - PART II Section 6 Registration - non-secure</w:t>
        </w:r>
      </w:fldSimple>
    </w:p>
    <w:p w:rsidR="00A75E5F" w:rsidRDefault="00A75E5F">
      <w:pPr>
        <w:pStyle w:val="Footer"/>
      </w:pPr>
    </w:p>
    <w:p w:rsidR="00A75E5F" w:rsidRDefault="00A75E5F"/>
    <w:p w:rsidR="00A75E5F" w:rsidRPr="009F6AEB" w:rsidRDefault="007651A7" w:rsidP="00613F58">
      <w:pPr>
        <w:tabs>
          <w:tab w:val="right" w:pos="14884"/>
          <w:tab w:val="right" w:pos="15168"/>
        </w:tabs>
      </w:pPr>
      <w:fldSimple w:instr=" FILENAME   \* MERGEFORMAT ">
        <w:r w:rsidR="003F619F" w:rsidRPr="003F619F">
          <w:rPr>
            <w:rStyle w:val="MCDEMfooteroddChar"/>
            <w:noProof/>
          </w:rPr>
          <w:t>DGL</w:t>
        </w:r>
        <w:r w:rsidR="003F619F">
          <w:rPr>
            <w:noProof/>
          </w:rPr>
          <w:t xml:space="preserve"> 11-15 - PART II Section 6 Registration - non-secure</w:t>
        </w:r>
      </w:fldSimple>
      <w:r w:rsidR="00A75E5F" w:rsidRPr="009F6AEB">
        <w:tab/>
      </w:r>
      <w:r w:rsidR="00A75E5F" w:rsidRPr="00E50A41">
        <w:rPr>
          <w:rStyle w:val="MCDEMfooteroddChar"/>
          <w:highlight w:val="green"/>
        </w:rPr>
        <w:t>xxx</w:t>
      </w:r>
      <w:r w:rsidR="00A75E5F" w:rsidRPr="009F6AEB">
        <w:rPr>
          <w:rStyle w:val="MCDEMfooteroddChar"/>
        </w:rPr>
        <w:t xml:space="preserve"> Director’s Guideline</w:t>
      </w:r>
      <w:r w:rsidR="00A75E5F" w:rsidRPr="009F6AEB">
        <w:t xml:space="preserve"> </w:t>
      </w:r>
      <w:r w:rsidR="00A75E5F" w:rsidRPr="009F6AEB">
        <w:rPr>
          <w:rStyle w:val="MCDEMfooteroddcode"/>
        </w:rPr>
        <w:t xml:space="preserve">[DGL </w:t>
      </w:r>
      <w:r w:rsidR="00A75E5F" w:rsidRPr="00E50A41">
        <w:rPr>
          <w:rStyle w:val="MCDEMfooteroddcode"/>
          <w:highlight w:val="green"/>
        </w:rPr>
        <w:t>xx/xx</w:t>
      </w:r>
      <w:r w:rsidR="00A75E5F" w:rsidRPr="009F6AEB">
        <w:rPr>
          <w:rStyle w:val="MCDEMfooteroddcode"/>
        </w:rPr>
        <w:t>]</w:t>
      </w:r>
      <w:r w:rsidR="00A75E5F" w:rsidRPr="009F6AEB">
        <w:tab/>
      </w:r>
      <w:r w:rsidRPr="001D3D08">
        <w:rPr>
          <w:rStyle w:val="MCDEMfooterpagenumber"/>
        </w:rPr>
        <w:fldChar w:fldCharType="begin"/>
      </w:r>
      <w:r w:rsidR="00A75E5F" w:rsidRPr="001D3D08">
        <w:rPr>
          <w:rStyle w:val="MCDEMfooterpagenumber"/>
        </w:rPr>
        <w:instrText xml:space="preserve"> PAGE   \* MERGEFORMAT </w:instrText>
      </w:r>
      <w:r w:rsidRPr="001D3D08">
        <w:rPr>
          <w:rStyle w:val="MCDEMfooterpagenumber"/>
        </w:rPr>
        <w:fldChar w:fldCharType="separate"/>
      </w:r>
      <w:r w:rsidR="00A75E5F">
        <w:rPr>
          <w:rStyle w:val="MCDEMfooterpagenumber"/>
          <w:noProof/>
        </w:rPr>
        <w:t>76</w:t>
      </w:r>
      <w:r w:rsidRPr="001D3D08">
        <w:rPr>
          <w:rStyle w:val="MCDEMfooterpagenumber"/>
        </w:rPr>
        <w:fldChar w:fldCharType="end"/>
      </w:r>
    </w:p>
    <w:p w:rsidR="00A75E5F" w:rsidRDefault="00A75E5F">
      <w:pPr>
        <w:pStyle w:val="Footer"/>
      </w:pPr>
    </w:p>
    <w:p w:rsidR="00A75E5F" w:rsidRDefault="00A75E5F"/>
    <w:p w:rsidR="00A75E5F" w:rsidRDefault="00A75E5F" w:rsidP="003C4DF1">
      <w:r>
        <w:separator/>
      </w:r>
    </w:p>
    <w:p w:rsidR="00A75E5F" w:rsidRDefault="00A75E5F"/>
  </w:footnote>
  <w:footnote w:type="continuationSeparator" w:id="0">
    <w:p w:rsidR="00A75E5F" w:rsidRDefault="00A75E5F" w:rsidP="003C4DF1">
      <w:r>
        <w:continuationSeparator/>
      </w:r>
    </w:p>
    <w:p w:rsidR="00A75E5F" w:rsidRDefault="00A75E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B5" w:rsidRDefault="00124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B5" w:rsidRDefault="001244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B5" w:rsidRDefault="001244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Pr="005B276C" w:rsidRDefault="001B1363" w:rsidP="00C06910">
    <w:pPr>
      <w:pStyle w:val="Header"/>
      <w:rPr>
        <w:i/>
        <w:color w:val="005A9B" w:themeColor="background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6C" w:rsidRPr="005B276C" w:rsidRDefault="005B276C" w:rsidP="005B276C">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E7" w:rsidRPr="005B276C" w:rsidRDefault="00F55AE7" w:rsidP="005B276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D51E704A"/>
    <w:lvl w:ilvl="0">
      <w:start w:val="6"/>
      <w:numFmt w:val="decimal"/>
      <w:pStyle w:val="Heading1"/>
      <w:suff w:val="space"/>
      <w:lvlText w:val="Section %1"/>
      <w:lvlJc w:val="left"/>
      <w:pPr>
        <w:ind w:left="284"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284"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284"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284" w:firstLine="0"/>
      </w:pPr>
      <w:rPr>
        <w:rFonts w:hint="default"/>
      </w:rPr>
    </w:lvl>
    <w:lvl w:ilvl="5">
      <w:start w:val="1"/>
      <w:numFmt w:val="upperLetter"/>
      <w:lvlRestart w:val="0"/>
      <w:pStyle w:val="Heading6"/>
      <w:suff w:val="space"/>
      <w:lvlText w:val="Appendix %6"/>
      <w:lvlJc w:val="left"/>
      <w:pPr>
        <w:ind w:left="284"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bRuMg03ASkK7k+cOC3Llbrz6oUo=" w:salt="itFAFyu7QTlByw4C7HEyDw=="/>
  <w:zoom w:percent="74"/>
  <w:mirrorMargins/>
  <w:proofState w:spelling="clean" w:grammar="clean"/>
  <w:stylePaneFormatFilter w:val="5704"/>
  <w:stylePaneSortMethod w:val="0000"/>
  <w:defaultTabStop w:val="720"/>
  <w:evenAndOddHeaders/>
  <w:characterSpacingControl w:val="doNotCompress"/>
  <w:hdrShapeDefaults>
    <o:shapedefaults v:ext="edit" spidmax="20481"/>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4B5"/>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001"/>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97EB5"/>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261"/>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061"/>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619F"/>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0DE"/>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08F7"/>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3D3D"/>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35C"/>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51A7"/>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978"/>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12C"/>
    <w:rsid w:val="00A30570"/>
    <w:rsid w:val="00A30A49"/>
    <w:rsid w:val="00A31109"/>
    <w:rsid w:val="00A312F1"/>
    <w:rsid w:val="00A315A4"/>
    <w:rsid w:val="00A315D0"/>
    <w:rsid w:val="00A316C2"/>
    <w:rsid w:val="00A31CCA"/>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4F01"/>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49B"/>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226EE2"/>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226EE2"/>
    <w:pPr>
      <w:numPr>
        <w:ilvl w:val="1"/>
        <w:numId w:val="5"/>
      </w:numPr>
      <w:pBdr>
        <w:bottom w:val="single" w:sz="8" w:space="1" w:color="AFAFAF" w:themeColor="accent1"/>
      </w:pBdr>
      <w:spacing w:line="240" w:lineRule="auto"/>
      <w:ind w:left="0"/>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226EE2"/>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226EE2"/>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E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226EE2"/>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226EE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226EE2"/>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226EE2"/>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226EE2"/>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226EE2"/>
    <w:pPr>
      <w:numPr>
        <w:ilvl w:val="1"/>
        <w:numId w:val="5"/>
      </w:numPr>
      <w:pBdr>
        <w:bottom w:val="single" w:sz="8" w:space="1" w:color="AFAFAF" w:themeColor="accent1"/>
      </w:pBdr>
      <w:spacing w:line="240" w:lineRule="auto"/>
      <w:ind w:left="0"/>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226EE2"/>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226EE2"/>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E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226EE2"/>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226EE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226EE2"/>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226EE2"/>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hrc.co.n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childrensactionplan.govt.nz" TargetMode="Externa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header" Target="header3.xml"/><Relationship Id="rId25" Type="http://schemas.openxmlformats.org/officeDocument/2006/relationships/hyperlink" Target="https://cdem.emis.govt.nz" TargetMode="External"/><Relationship Id="rId33" Type="http://schemas.openxmlformats.org/officeDocument/2006/relationships/hyperlink" Target="http://www.legislation.govt.n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legislation.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civildefence.govt.nz" TargetMode="External"/><Relationship Id="rId32" Type="http://schemas.openxmlformats.org/officeDocument/2006/relationships/hyperlink" Target="http://www.police.govt.nz" TargetMode="External"/><Relationship Id="rId37" Type="http://schemas.openxmlformats.org/officeDocument/2006/relationships/footer" Target="foot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www.spherehandbook.org" TargetMode="External"/><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yperlink" Target="http://www.privacy.org.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civildefence.govt.nz" TargetMode="External"/><Relationship Id="rId30" Type="http://schemas.openxmlformats.org/officeDocument/2006/relationships/hyperlink" Target="http://www.privacy.org.nz" TargetMode="External"/><Relationship Id="rId35" Type="http://schemas.openxmlformats.org/officeDocument/2006/relationships/hyperlink" Target="http://www.civildefence.govt.nz"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10D9-8919-43E0-A08E-47EECE6E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3716</Words>
  <Characters>21184</Characters>
  <Application>Microsoft Office Word</Application>
  <DocSecurity>6</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6 Registration - November 2015 - Ministry of Civil Defence &amp; Emergency Management</dc:title>
  <dc:creator>Ministry of Civil Defence &amp; Emergency Management</dc:creator>
  <cp:lastModifiedBy>Jaynia Steel [CASS]</cp:lastModifiedBy>
  <cp:revision>3</cp:revision>
  <cp:lastPrinted>2015-11-04T01:09:00Z</cp:lastPrinted>
  <dcterms:created xsi:type="dcterms:W3CDTF">2015-11-12T18:57:00Z</dcterms:created>
  <dcterms:modified xsi:type="dcterms:W3CDTF">2015-11-15T20:58:00Z</dcterms:modified>
</cp:coreProperties>
</file>