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-1080135</wp:posOffset>
            </wp:positionV>
            <wp:extent cx="7559040" cy="106889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8955"/>
                    </a:xfrm>
                    <a:prstGeom prst="rect">
                      <a:avLst/>
                    </a:prstGeom>
                  </pic:spPr>
                </pic:pic>
              </a:graphicData>
            </a:graphic>
          </wp:anchor>
        </w:drawing>
      </w:r>
    </w:p>
    <w:p w:rsidR="00A75E5F" w:rsidRDefault="00A75E5F" w:rsidP="00A75E5F">
      <w:pPr>
        <w:pStyle w:val="Insidecoverdocname"/>
      </w:pPr>
      <w:bookmarkStart w:id="1" w:name="OLE_LINK10"/>
      <w:bookmarkStart w:id="2" w:name="OLE_LINK11"/>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8"/>
      <w:bookmarkStart w:id="4" w:name="OLE_LINK9"/>
      <w:bookmarkStart w:id="5" w:name="OLE_LINK12"/>
      <w:r w:rsidRPr="00B36967">
        <w:rPr>
          <w:rFonts w:ascii="Arial" w:hAnsi="Arial" w:cs="Arial"/>
          <w:sz w:val="22"/>
          <w:szCs w:val="22"/>
        </w:rPr>
        <w:t xml:space="preserve">Ministry of Civil Defence &amp; Emergency Management </w:t>
      </w:r>
    </w:p>
    <w:bookmarkEnd w:id="3"/>
    <w:bookmarkEnd w:id="4"/>
    <w:bookmarkEnd w:id="5"/>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headerReference w:type="even" r:id="rId13"/>
          <w:headerReference w:type="default" r:id="rId14"/>
          <w:footerReference w:type="even" r:id="rId15"/>
          <w:footerReference w:type="default" r:id="rId16"/>
          <w:headerReference w:type="first" r:id="rId17"/>
          <w:footerReference w:type="first" r:id="rId18"/>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C51AD7" w:rsidRDefault="009A0A02">
      <w:pPr>
        <w:pStyle w:val="TOC1"/>
        <w:rPr>
          <w:rFonts w:asciiTheme="minorHAnsi" w:eastAsiaTheme="minorEastAsia" w:hAnsiTheme="minorHAnsi" w:cstheme="minorBidi"/>
          <w:b w:val="0"/>
          <w:bCs w:val="0"/>
          <w:iCs w:val="0"/>
          <w:szCs w:val="22"/>
          <w:lang w:eastAsia="en-NZ"/>
        </w:rPr>
      </w:pPr>
      <w:r w:rsidRPr="009A0A02">
        <w:rPr>
          <w:b w:val="0"/>
          <w:iCs w:val="0"/>
          <w:szCs w:val="22"/>
        </w:rPr>
        <w:fldChar w:fldCharType="begin"/>
      </w:r>
      <w:r w:rsidR="00171492" w:rsidRPr="003A3769">
        <w:instrText xml:space="preserve"> TOC \o "1-3" \h \z \t "Heading 6,2" </w:instrText>
      </w:r>
      <w:r w:rsidRPr="009A0A02">
        <w:rPr>
          <w:b w:val="0"/>
          <w:iCs w:val="0"/>
          <w:szCs w:val="22"/>
        </w:rPr>
        <w:fldChar w:fldCharType="separate"/>
      </w:r>
      <w:hyperlink w:anchor="_Toc434475240" w:history="1">
        <w:r w:rsidR="00C51AD7" w:rsidRPr="00773149">
          <w:rPr>
            <w:rStyle w:val="Hyperlink"/>
          </w:rPr>
          <w:t>Section 5 Welfare services sub-functions</w:t>
        </w:r>
        <w:r w:rsidR="00C51AD7">
          <w:rPr>
            <w:webHidden/>
          </w:rPr>
          <w:tab/>
        </w:r>
        <w:r>
          <w:rPr>
            <w:webHidden/>
          </w:rPr>
          <w:fldChar w:fldCharType="begin"/>
        </w:r>
        <w:r w:rsidR="00C51AD7">
          <w:rPr>
            <w:webHidden/>
          </w:rPr>
          <w:instrText xml:space="preserve"> PAGEREF _Toc434475240 \h </w:instrText>
        </w:r>
        <w:r>
          <w:rPr>
            <w:webHidden/>
          </w:rPr>
        </w:r>
        <w:r>
          <w:rPr>
            <w:webHidden/>
          </w:rPr>
          <w:fldChar w:fldCharType="separate"/>
        </w:r>
        <w:r w:rsidR="00C51AD7">
          <w:rPr>
            <w:webHidden/>
          </w:rPr>
          <w:t>1</w:t>
        </w:r>
        <w:r>
          <w:rPr>
            <w:webHidden/>
          </w:rPr>
          <w:fldChar w:fldCharType="end"/>
        </w:r>
      </w:hyperlink>
    </w:p>
    <w:p w:rsidR="00C51AD7" w:rsidRDefault="009A0A02">
      <w:pPr>
        <w:pStyle w:val="TOC2"/>
        <w:rPr>
          <w:rFonts w:asciiTheme="minorHAnsi" w:eastAsiaTheme="minorEastAsia" w:hAnsiTheme="minorHAnsi" w:cstheme="minorBidi"/>
          <w:bCs w:val="0"/>
          <w:lang w:eastAsia="en-NZ"/>
        </w:rPr>
      </w:pPr>
      <w:hyperlink w:anchor="_Toc434475241" w:history="1">
        <w:r w:rsidR="00C51AD7" w:rsidRPr="00773149">
          <w:rPr>
            <w:rStyle w:val="Hyperlink"/>
          </w:rPr>
          <w:t>5.1 Overview</w:t>
        </w:r>
        <w:r w:rsidR="00C51AD7">
          <w:rPr>
            <w:webHidden/>
          </w:rPr>
          <w:tab/>
        </w:r>
        <w:r>
          <w:rPr>
            <w:webHidden/>
          </w:rPr>
          <w:fldChar w:fldCharType="begin"/>
        </w:r>
        <w:r w:rsidR="00C51AD7">
          <w:rPr>
            <w:webHidden/>
          </w:rPr>
          <w:instrText xml:space="preserve"> PAGEREF _Toc434475241 \h </w:instrText>
        </w:r>
        <w:r>
          <w:rPr>
            <w:webHidden/>
          </w:rPr>
        </w:r>
        <w:r>
          <w:rPr>
            <w:webHidden/>
          </w:rPr>
          <w:fldChar w:fldCharType="separate"/>
        </w:r>
        <w:r w:rsidR="00C51AD7">
          <w:rPr>
            <w:webHidden/>
          </w:rPr>
          <w:t>1</w:t>
        </w:r>
        <w:r>
          <w:rPr>
            <w:webHidden/>
          </w:rPr>
          <w:fldChar w:fldCharType="end"/>
        </w:r>
      </w:hyperlink>
    </w:p>
    <w:p w:rsidR="00C51AD7" w:rsidRDefault="009A0A02">
      <w:pPr>
        <w:pStyle w:val="TOC2"/>
        <w:rPr>
          <w:rFonts w:asciiTheme="minorHAnsi" w:eastAsiaTheme="minorEastAsia" w:hAnsiTheme="minorHAnsi" w:cstheme="minorBidi"/>
          <w:bCs w:val="0"/>
          <w:lang w:eastAsia="en-NZ"/>
        </w:rPr>
      </w:pPr>
      <w:hyperlink w:anchor="_Toc434475242" w:history="1">
        <w:r w:rsidR="00C51AD7" w:rsidRPr="00773149">
          <w:rPr>
            <w:rStyle w:val="Hyperlink"/>
          </w:rPr>
          <w:t>5.2 Information applicable to all welfare services</w:t>
        </w:r>
        <w:r w:rsidR="00C51AD7">
          <w:rPr>
            <w:webHidden/>
          </w:rPr>
          <w:tab/>
        </w:r>
        <w:r>
          <w:rPr>
            <w:webHidden/>
          </w:rPr>
          <w:fldChar w:fldCharType="begin"/>
        </w:r>
        <w:r w:rsidR="00C51AD7">
          <w:rPr>
            <w:webHidden/>
          </w:rPr>
          <w:instrText xml:space="preserve"> PAGEREF _Toc434475242 \h </w:instrText>
        </w:r>
        <w:r>
          <w:rPr>
            <w:webHidden/>
          </w:rPr>
        </w:r>
        <w:r>
          <w:rPr>
            <w:webHidden/>
          </w:rPr>
          <w:fldChar w:fldCharType="separate"/>
        </w:r>
        <w:r w:rsidR="00C51AD7">
          <w:rPr>
            <w:webHidden/>
          </w:rPr>
          <w:t>2</w:t>
        </w:r>
        <w:r>
          <w:rPr>
            <w:webHidden/>
          </w:rPr>
          <w:fldChar w:fldCharType="end"/>
        </w:r>
      </w:hyperlink>
    </w:p>
    <w:p w:rsidR="00C51AD7" w:rsidRDefault="009A0A02">
      <w:pPr>
        <w:pStyle w:val="TOC3"/>
        <w:rPr>
          <w:rFonts w:asciiTheme="minorHAnsi" w:eastAsiaTheme="minorEastAsia" w:hAnsiTheme="minorHAnsi" w:cstheme="minorBidi"/>
          <w:szCs w:val="22"/>
          <w:lang w:eastAsia="en-NZ"/>
        </w:rPr>
      </w:pPr>
      <w:hyperlink w:anchor="_Toc434475243" w:history="1">
        <w:r w:rsidR="00C51AD7" w:rsidRPr="00773149">
          <w:rPr>
            <w:rStyle w:val="Hyperlink"/>
          </w:rPr>
          <w:t>5.2.1 Welfare services agency representation</w:t>
        </w:r>
        <w:r w:rsidR="00C51AD7">
          <w:rPr>
            <w:webHidden/>
          </w:rPr>
          <w:tab/>
        </w:r>
        <w:r>
          <w:rPr>
            <w:webHidden/>
          </w:rPr>
          <w:fldChar w:fldCharType="begin"/>
        </w:r>
        <w:r w:rsidR="00C51AD7">
          <w:rPr>
            <w:webHidden/>
          </w:rPr>
          <w:instrText xml:space="preserve"> PAGEREF _Toc434475243 \h </w:instrText>
        </w:r>
        <w:r>
          <w:rPr>
            <w:webHidden/>
          </w:rPr>
        </w:r>
        <w:r>
          <w:rPr>
            <w:webHidden/>
          </w:rPr>
          <w:fldChar w:fldCharType="separate"/>
        </w:r>
        <w:r w:rsidR="00C51AD7">
          <w:rPr>
            <w:webHidden/>
          </w:rPr>
          <w:t>2</w:t>
        </w:r>
        <w:r>
          <w:rPr>
            <w:webHidden/>
          </w:rPr>
          <w:fldChar w:fldCharType="end"/>
        </w:r>
      </w:hyperlink>
    </w:p>
    <w:p w:rsidR="00C51AD7" w:rsidRDefault="009A0A02">
      <w:pPr>
        <w:pStyle w:val="TOC3"/>
        <w:rPr>
          <w:rFonts w:asciiTheme="minorHAnsi" w:eastAsiaTheme="minorEastAsia" w:hAnsiTheme="minorHAnsi" w:cstheme="minorBidi"/>
          <w:szCs w:val="22"/>
          <w:lang w:eastAsia="en-NZ"/>
        </w:rPr>
      </w:pPr>
      <w:hyperlink w:anchor="_Toc434475244" w:history="1">
        <w:r w:rsidR="00C51AD7" w:rsidRPr="00773149">
          <w:rPr>
            <w:rStyle w:val="Hyperlink"/>
          </w:rPr>
          <w:t>5.2.2 Human rights</w:t>
        </w:r>
        <w:r w:rsidR="00C51AD7">
          <w:rPr>
            <w:webHidden/>
          </w:rPr>
          <w:tab/>
        </w:r>
        <w:r>
          <w:rPr>
            <w:webHidden/>
          </w:rPr>
          <w:fldChar w:fldCharType="begin"/>
        </w:r>
        <w:r w:rsidR="00C51AD7">
          <w:rPr>
            <w:webHidden/>
          </w:rPr>
          <w:instrText xml:space="preserve"> PAGEREF _Toc434475244 \h </w:instrText>
        </w:r>
        <w:r>
          <w:rPr>
            <w:webHidden/>
          </w:rPr>
        </w:r>
        <w:r>
          <w:rPr>
            <w:webHidden/>
          </w:rPr>
          <w:fldChar w:fldCharType="separate"/>
        </w:r>
        <w:r w:rsidR="00C51AD7">
          <w:rPr>
            <w:webHidden/>
          </w:rPr>
          <w:t>3</w:t>
        </w:r>
        <w:r>
          <w:rPr>
            <w:webHidden/>
          </w:rPr>
          <w:fldChar w:fldCharType="end"/>
        </w:r>
      </w:hyperlink>
    </w:p>
    <w:p w:rsidR="00C51AD7" w:rsidRDefault="009A0A02">
      <w:pPr>
        <w:pStyle w:val="TOC3"/>
        <w:rPr>
          <w:rFonts w:asciiTheme="minorHAnsi" w:eastAsiaTheme="minorEastAsia" w:hAnsiTheme="minorHAnsi" w:cstheme="minorBidi"/>
          <w:szCs w:val="22"/>
          <w:lang w:eastAsia="en-NZ"/>
        </w:rPr>
      </w:pPr>
      <w:hyperlink w:anchor="_Toc434475245" w:history="1">
        <w:r w:rsidR="00C51AD7" w:rsidRPr="00773149">
          <w:rPr>
            <w:rStyle w:val="Hyperlink"/>
          </w:rPr>
          <w:t>5.2.3 Working with communities</w:t>
        </w:r>
        <w:r w:rsidR="00C51AD7">
          <w:rPr>
            <w:webHidden/>
          </w:rPr>
          <w:tab/>
        </w:r>
        <w:r>
          <w:rPr>
            <w:webHidden/>
          </w:rPr>
          <w:fldChar w:fldCharType="begin"/>
        </w:r>
        <w:r w:rsidR="00C51AD7">
          <w:rPr>
            <w:webHidden/>
          </w:rPr>
          <w:instrText xml:space="preserve"> PAGEREF _Toc434475245 \h </w:instrText>
        </w:r>
        <w:r>
          <w:rPr>
            <w:webHidden/>
          </w:rPr>
        </w:r>
        <w:r>
          <w:rPr>
            <w:webHidden/>
          </w:rPr>
          <w:fldChar w:fldCharType="separate"/>
        </w:r>
        <w:r w:rsidR="00C51AD7">
          <w:rPr>
            <w:webHidden/>
          </w:rPr>
          <w:t>3</w:t>
        </w:r>
        <w:r>
          <w:rPr>
            <w:webHidden/>
          </w:rPr>
          <w:fldChar w:fldCharType="end"/>
        </w:r>
      </w:hyperlink>
    </w:p>
    <w:p w:rsidR="00C51AD7" w:rsidRDefault="009A0A02">
      <w:pPr>
        <w:pStyle w:val="TOC3"/>
        <w:rPr>
          <w:rFonts w:asciiTheme="minorHAnsi" w:eastAsiaTheme="minorEastAsia" w:hAnsiTheme="minorHAnsi" w:cstheme="minorBidi"/>
          <w:szCs w:val="22"/>
          <w:lang w:eastAsia="en-NZ"/>
        </w:rPr>
      </w:pPr>
      <w:hyperlink w:anchor="_Toc434475246" w:history="1">
        <w:r w:rsidR="00C51AD7" w:rsidRPr="00773149">
          <w:rPr>
            <w:rStyle w:val="Hyperlink"/>
          </w:rPr>
          <w:t>5.2.4 Minimum standards in the Sphere Handbook</w:t>
        </w:r>
        <w:r w:rsidR="00C51AD7">
          <w:rPr>
            <w:webHidden/>
          </w:rPr>
          <w:tab/>
        </w:r>
        <w:r>
          <w:rPr>
            <w:webHidden/>
          </w:rPr>
          <w:fldChar w:fldCharType="begin"/>
        </w:r>
        <w:r w:rsidR="00C51AD7">
          <w:rPr>
            <w:webHidden/>
          </w:rPr>
          <w:instrText xml:space="preserve"> PAGEREF _Toc434475246 \h </w:instrText>
        </w:r>
        <w:r>
          <w:rPr>
            <w:webHidden/>
          </w:rPr>
        </w:r>
        <w:r>
          <w:rPr>
            <w:webHidden/>
          </w:rPr>
          <w:fldChar w:fldCharType="separate"/>
        </w:r>
        <w:r w:rsidR="00C51AD7">
          <w:rPr>
            <w:webHidden/>
          </w:rPr>
          <w:t>5</w:t>
        </w:r>
        <w:r>
          <w:rPr>
            <w:webHidden/>
          </w:rPr>
          <w:fldChar w:fldCharType="end"/>
        </w:r>
      </w:hyperlink>
    </w:p>
    <w:p w:rsidR="00C51AD7" w:rsidRDefault="009A0A02">
      <w:pPr>
        <w:pStyle w:val="TOC3"/>
        <w:rPr>
          <w:rFonts w:asciiTheme="minorHAnsi" w:eastAsiaTheme="minorEastAsia" w:hAnsiTheme="minorHAnsi" w:cstheme="minorBidi"/>
          <w:szCs w:val="22"/>
          <w:lang w:eastAsia="en-NZ"/>
        </w:rPr>
      </w:pPr>
      <w:hyperlink w:anchor="_Toc434475247" w:history="1">
        <w:r w:rsidR="00C51AD7" w:rsidRPr="00773149">
          <w:rPr>
            <w:rStyle w:val="Hyperlink"/>
          </w:rPr>
          <w:t>5.2.5 Privacy, information sharing, and vetting</w:t>
        </w:r>
        <w:r w:rsidR="00C51AD7">
          <w:rPr>
            <w:webHidden/>
          </w:rPr>
          <w:tab/>
        </w:r>
        <w:r>
          <w:rPr>
            <w:webHidden/>
          </w:rPr>
          <w:fldChar w:fldCharType="begin"/>
        </w:r>
        <w:r w:rsidR="00C51AD7">
          <w:rPr>
            <w:webHidden/>
          </w:rPr>
          <w:instrText xml:space="preserve"> PAGEREF _Toc434475247 \h </w:instrText>
        </w:r>
        <w:r>
          <w:rPr>
            <w:webHidden/>
          </w:rPr>
        </w:r>
        <w:r>
          <w:rPr>
            <w:webHidden/>
          </w:rPr>
          <w:fldChar w:fldCharType="separate"/>
        </w:r>
        <w:r w:rsidR="00C51AD7">
          <w:rPr>
            <w:webHidden/>
          </w:rPr>
          <w:t>6</w:t>
        </w:r>
        <w:r>
          <w:rPr>
            <w:webHidden/>
          </w:rPr>
          <w:fldChar w:fldCharType="end"/>
        </w:r>
      </w:hyperlink>
    </w:p>
    <w:p w:rsidR="00A75E5F" w:rsidRDefault="009A0A02" w:rsidP="00A75E5F">
      <w:r w:rsidRPr="003A3769">
        <w:rPr>
          <w:rFonts w:cstheme="minorHAnsi"/>
          <w:b/>
          <w:bCs/>
          <w:iCs/>
          <w:noProof/>
          <w:szCs w:val="24"/>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6" w:name="_Ref416379868"/>
      <w:bookmarkStart w:id="7" w:name="_Ref416379877"/>
      <w:bookmarkStart w:id="8" w:name="_Ref416379990"/>
      <w:bookmarkStart w:id="9"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DF745D">
          <w:headerReference w:type="even" r:id="rId19"/>
          <w:headerReference w:type="default" r:id="rId20"/>
          <w:footerReference w:type="even" r:id="rId21"/>
          <w:footerReference w:type="default" r:id="rId22"/>
          <w:pgSz w:w="11907" w:h="16840" w:code="9"/>
          <w:pgMar w:top="1191" w:right="1021" w:bottom="794" w:left="1361" w:header="567" w:footer="318" w:gutter="0"/>
          <w:pgNumType w:fmt="lowerRoman" w:start="1"/>
          <w:cols w:space="720"/>
          <w:docGrid w:linePitch="326"/>
        </w:sectPr>
      </w:pPr>
    </w:p>
    <w:p w:rsidR="000603BF" w:rsidRDefault="00371C8C" w:rsidP="00A75E5F">
      <w:pPr>
        <w:pStyle w:val="Heading1"/>
        <w:ind w:left="0"/>
      </w:pPr>
      <w:bookmarkStart w:id="10" w:name="_Toc434475240"/>
      <w:r>
        <w:lastRenderedPageBreak/>
        <w:t>Welfare services sub-functions</w:t>
      </w:r>
      <w:bookmarkEnd w:id="1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A75E5F" w:rsidRPr="003A3769" w:rsidTr="00162060">
        <w:trPr>
          <w:cantSplit/>
        </w:trPr>
        <w:tc>
          <w:tcPr>
            <w:tcW w:w="1927" w:type="dxa"/>
            <w:tcMar>
              <w:right w:w="227" w:type="dxa"/>
            </w:tcMar>
          </w:tcPr>
          <w:p w:rsidR="00A75E5F" w:rsidRPr="003A3769" w:rsidRDefault="00A75E5F" w:rsidP="00162060">
            <w:pPr>
              <w:pStyle w:val="LHcolumn"/>
            </w:pPr>
          </w:p>
        </w:tc>
        <w:tc>
          <w:tcPr>
            <w:tcW w:w="7706" w:type="dxa"/>
          </w:tcPr>
          <w:p w:rsidR="00A75E5F" w:rsidRDefault="00A75E5F" w:rsidP="00162060">
            <w:r w:rsidRPr="003A3769">
              <w:t xml:space="preserve">This section provides an introduction to the nine welfare services sub-functions described in the </w:t>
            </w:r>
            <w:r w:rsidRPr="00735C28">
              <w:rPr>
                <w:i/>
              </w:rPr>
              <w:t>National CDEM Plan 2015</w:t>
            </w:r>
            <w:r>
              <w:t xml:space="preserve">. </w:t>
            </w:r>
          </w:p>
          <w:p w:rsidR="00A75E5F" w:rsidRPr="007A0960" w:rsidRDefault="00A75E5F" w:rsidP="007A0960">
            <w:r w:rsidRPr="007A0960">
              <w:t>It includes important information applicable to all welfare services. Sections 6-14 of this guideline should be read in conjunction with this section.</w:t>
            </w:r>
          </w:p>
        </w:tc>
      </w:tr>
    </w:tbl>
    <w:p w:rsidR="00A75E5F" w:rsidRPr="003A3769" w:rsidRDefault="00A75E5F" w:rsidP="00A75E5F">
      <w:pPr>
        <w:pStyle w:val="Spacer"/>
      </w:pPr>
    </w:p>
    <w:p w:rsidR="00A75E5F" w:rsidRPr="003A3769" w:rsidRDefault="00A75E5F" w:rsidP="00A75E5F">
      <w:pPr>
        <w:pStyle w:val="Heading2"/>
      </w:pPr>
      <w:bookmarkStart w:id="11" w:name="_Toc433815247"/>
      <w:bookmarkStart w:id="12" w:name="_Toc434475241"/>
      <w:r w:rsidRPr="003A3769">
        <w:t>Overview</w:t>
      </w:r>
      <w:bookmarkEnd w:id="11"/>
      <w:bookmarkEnd w:id="12"/>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28"/>
        <w:gridCol w:w="7711"/>
      </w:tblGrid>
      <w:tr w:rsidR="00A75E5F" w:rsidRPr="003A3769" w:rsidTr="00162060">
        <w:trPr>
          <w:cantSplit/>
        </w:trPr>
        <w:tc>
          <w:tcPr>
            <w:tcW w:w="1928" w:type="dxa"/>
            <w:tcMar>
              <w:right w:w="227" w:type="dxa"/>
            </w:tcMar>
          </w:tcPr>
          <w:p w:rsidR="00A75E5F" w:rsidRPr="003A3769" w:rsidRDefault="00A75E5F" w:rsidP="00162060">
            <w:pPr>
              <w:pStyle w:val="LHcolumn"/>
            </w:pPr>
            <w:r w:rsidRPr="003A3769">
              <w:t>Introduction</w:t>
            </w:r>
          </w:p>
        </w:tc>
        <w:tc>
          <w:tcPr>
            <w:tcW w:w="7711" w:type="dxa"/>
          </w:tcPr>
          <w:p w:rsidR="00A75E5F" w:rsidRPr="003A3769" w:rsidRDefault="00A75E5F" w:rsidP="00162060">
            <w:r w:rsidRPr="003A3769">
              <w:t>Welfare services include the following sub-functions:</w:t>
            </w:r>
          </w:p>
          <w:p w:rsidR="00A75E5F" w:rsidRPr="003A3769" w:rsidRDefault="00A75E5F" w:rsidP="00162060">
            <w:pPr>
              <w:pStyle w:val="Bullet"/>
            </w:pPr>
            <w:r w:rsidRPr="003A3769">
              <w:t>registration</w:t>
            </w:r>
          </w:p>
          <w:p w:rsidR="00A75E5F" w:rsidRPr="003A3769" w:rsidRDefault="00A75E5F" w:rsidP="00162060">
            <w:pPr>
              <w:pStyle w:val="Bullet"/>
            </w:pPr>
            <w:r w:rsidRPr="003A3769">
              <w:t>needs assessment</w:t>
            </w:r>
          </w:p>
          <w:p w:rsidR="00A75E5F" w:rsidRPr="003A3769" w:rsidRDefault="00A75E5F" w:rsidP="00162060">
            <w:pPr>
              <w:pStyle w:val="Bullet"/>
            </w:pPr>
            <w:r w:rsidRPr="003A3769">
              <w:t>inquiry</w:t>
            </w:r>
          </w:p>
          <w:p w:rsidR="00A75E5F" w:rsidRPr="003A3769" w:rsidRDefault="00A75E5F" w:rsidP="00162060">
            <w:pPr>
              <w:pStyle w:val="Bullet"/>
            </w:pPr>
            <w:r w:rsidRPr="003A3769">
              <w:t>care and protection services for children and young people</w:t>
            </w:r>
          </w:p>
          <w:p w:rsidR="00A75E5F" w:rsidRPr="003A3769" w:rsidRDefault="00A75E5F" w:rsidP="00162060">
            <w:pPr>
              <w:pStyle w:val="Bullet"/>
            </w:pPr>
            <w:r w:rsidRPr="003A3769">
              <w:t>psychosocial support</w:t>
            </w:r>
          </w:p>
          <w:p w:rsidR="00A75E5F" w:rsidRPr="003A3769" w:rsidRDefault="00A75E5F" w:rsidP="00162060">
            <w:pPr>
              <w:pStyle w:val="Bullet"/>
            </w:pPr>
            <w:r w:rsidRPr="003A3769">
              <w:t>household goods and services</w:t>
            </w:r>
          </w:p>
          <w:p w:rsidR="00A75E5F" w:rsidRPr="003A3769" w:rsidRDefault="00A75E5F" w:rsidP="00162060">
            <w:pPr>
              <w:pStyle w:val="Bullet"/>
            </w:pPr>
            <w:r w:rsidRPr="003A3769">
              <w:t xml:space="preserve">shelter and accommodation </w:t>
            </w:r>
          </w:p>
          <w:p w:rsidR="00A75E5F" w:rsidRPr="003A3769" w:rsidRDefault="00A75E5F" w:rsidP="00162060">
            <w:pPr>
              <w:pStyle w:val="Bullet"/>
            </w:pPr>
            <w:r w:rsidRPr="003A3769">
              <w:t>financial assistance, and</w:t>
            </w:r>
          </w:p>
          <w:p w:rsidR="00A75E5F" w:rsidRPr="003A3769" w:rsidRDefault="00A75E5F" w:rsidP="00162060">
            <w:pPr>
              <w:pStyle w:val="Bullet"/>
            </w:pPr>
            <w:proofErr w:type="gramStart"/>
            <w:r w:rsidRPr="003A3769">
              <w:t>animal</w:t>
            </w:r>
            <w:proofErr w:type="gramEnd"/>
            <w:r w:rsidRPr="003A3769">
              <w:t xml:space="preserve"> welfare.</w:t>
            </w:r>
          </w:p>
          <w:p w:rsidR="00A75E5F" w:rsidRPr="003A3769" w:rsidRDefault="00A75E5F" w:rsidP="00162060">
            <w:pPr>
              <w:pStyle w:val="Spacer"/>
            </w:pPr>
          </w:p>
        </w:tc>
      </w:tr>
      <w:tr w:rsidR="00A75E5F" w:rsidRPr="003A3769" w:rsidTr="00162060">
        <w:trPr>
          <w:cantSplit/>
        </w:trPr>
        <w:tc>
          <w:tcPr>
            <w:tcW w:w="1928" w:type="dxa"/>
            <w:tcMar>
              <w:right w:w="227" w:type="dxa"/>
            </w:tcMar>
          </w:tcPr>
          <w:p w:rsidR="00A75E5F" w:rsidRPr="003A3769" w:rsidRDefault="00A75E5F" w:rsidP="00162060">
            <w:pPr>
              <w:pStyle w:val="LHcolumn"/>
            </w:pPr>
            <w:r w:rsidRPr="003A3769">
              <w:t>Relationship between welfare sub-functions</w:t>
            </w:r>
          </w:p>
        </w:tc>
        <w:tc>
          <w:tcPr>
            <w:tcW w:w="7711" w:type="dxa"/>
          </w:tcPr>
          <w:p w:rsidR="00A75E5F" w:rsidRPr="003A3769" w:rsidRDefault="00A75E5F" w:rsidP="00162060">
            <w:r w:rsidRPr="003A3769">
              <w:t>Registration and needs assessment provide the fundamental information and understanding about people affected by an emergency and their associated needs</w:t>
            </w:r>
            <w:r w:rsidRPr="00E12AD0">
              <w:t>. The registration and needs assessment welfare services sub-functions are therefore crucial to effectively meeting the needs of those affected.</w:t>
            </w:r>
            <w:r>
              <w:t xml:space="preserve"> </w:t>
            </w:r>
            <w:r w:rsidRPr="003A3769">
              <w:t>The remaining sub-functions are service delivery functions based on the needs identified.</w:t>
            </w:r>
          </w:p>
          <w:p w:rsidR="00A75E5F" w:rsidRPr="003A3769" w:rsidRDefault="00A75E5F" w:rsidP="00162060">
            <w:r w:rsidRPr="003A3769">
              <w:t>The needs of people affected by an emergency change throughout response and recovery. Ongoing coordination of service delivery, and monitoring and reporting of both needs and service delivery are required throughout.</w:t>
            </w:r>
          </w:p>
          <w:p w:rsidR="00A75E5F" w:rsidRPr="003A3769" w:rsidRDefault="009A0A02" w:rsidP="00162060">
            <w:fldSimple w:instr=" REF _Ref421780412 \h  \* MERGEFORMAT ">
              <w:r w:rsidR="00617505" w:rsidRPr="003A3769">
                <w:t xml:space="preserve">Figure </w:t>
              </w:r>
              <w:r w:rsidR="00617505">
                <w:rPr>
                  <w:noProof/>
                </w:rPr>
                <w:t>1</w:t>
              </w:r>
            </w:fldSimple>
            <w:r w:rsidR="00A75E5F" w:rsidRPr="003A3769">
              <w:t xml:space="preserve"> on the next page </w:t>
            </w:r>
            <w:r w:rsidR="00A75E5F">
              <w:t>shows</w:t>
            </w:r>
            <w:r w:rsidR="00A75E5F" w:rsidRPr="003A3769">
              <w:t xml:space="preserve"> the relationship between the welfare services sub-functions.</w:t>
            </w:r>
          </w:p>
        </w:tc>
      </w:tr>
      <w:tr w:rsidR="00A75E5F" w:rsidRPr="003A3769" w:rsidTr="00162060">
        <w:trPr>
          <w:cantSplit/>
        </w:trPr>
        <w:tc>
          <w:tcPr>
            <w:tcW w:w="1928" w:type="dxa"/>
            <w:tcMar>
              <w:right w:w="227" w:type="dxa"/>
            </w:tcMar>
          </w:tcPr>
          <w:p w:rsidR="00A75E5F" w:rsidRPr="003A3769" w:rsidRDefault="00A75E5F" w:rsidP="00162060">
            <w:pPr>
              <w:pStyle w:val="LHcolumn"/>
            </w:pPr>
          </w:p>
        </w:tc>
        <w:tc>
          <w:tcPr>
            <w:tcW w:w="7711" w:type="dxa"/>
          </w:tcPr>
          <w:p w:rsidR="00A75E5F" w:rsidRPr="003A3769" w:rsidRDefault="00A75E5F" w:rsidP="00162060">
            <w:pPr>
              <w:keepNext/>
            </w:pPr>
            <w:r>
              <w:rPr>
                <w:noProof/>
              </w:rPr>
              <w:drawing>
                <wp:inline distT="0" distB="0" distL="0" distR="0">
                  <wp:extent cx="4739425" cy="3718133"/>
                  <wp:effectExtent l="0" t="0" r="4445" b="0"/>
                  <wp:docPr id="101" name="Picture 101" descr="This diagram shows the relationship between the nine welfare services sub-functions.&#10;&#10;The top section shows how the registration and needs assessment sub-functions form the basis for welfare services delivery.&#10;&#10;An arrow from the top section to the middle section of the diagram shows how information gathered during registration and needs assessment inform the other welfare services sub-functions: inquiry, care and protection services for children and young people, psychosocial support, household goods and services, shelter and accommodation, financial assistance, and animal welfare.  These sub-functions comprise welfare service delivery to affected communities.  &#10;&#10;The delivery of welfare services identifies additional and changing needs via monitoring and reporting, which in turn informs further registration and needs assessment. &#10;The bottom section of the diagram shows how registration, needs assessment, and welfare services delivery (the remaining welfare services sub-functions) operate continuously throughout response and recove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DEM\Tech Comms\MCDEM working files\MCDEM Publications\Welfare\Relationship between the welfare sub-functions V2.jpg"/>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64" t="2662" r="8311" b="8727"/>
                          <a:stretch/>
                        </pic:blipFill>
                        <pic:spPr bwMode="auto">
                          <a:xfrm>
                            <a:off x="0" y="0"/>
                            <a:ext cx="4739012" cy="37178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75E5F" w:rsidRPr="003A3769" w:rsidRDefault="00A75E5F" w:rsidP="00162060">
            <w:pPr>
              <w:pStyle w:val="Caption"/>
            </w:pPr>
            <w:bookmarkStart w:id="13" w:name="_Ref421780412"/>
            <w:r w:rsidRPr="003A3769">
              <w:t xml:space="preserve">Figure </w:t>
            </w:r>
            <w:fldSimple w:instr=" SEQ Figure \* ARABIC ">
              <w:r w:rsidR="00617505">
                <w:rPr>
                  <w:noProof/>
                </w:rPr>
                <w:t>1</w:t>
              </w:r>
            </w:fldSimple>
            <w:bookmarkEnd w:id="13"/>
            <w:r w:rsidRPr="003A3769">
              <w:t xml:space="preserve"> Relationship between the welfare services sub-functions</w:t>
            </w:r>
          </w:p>
        </w:tc>
      </w:tr>
    </w:tbl>
    <w:p w:rsidR="00A75E5F" w:rsidRPr="003A3769" w:rsidRDefault="00A75E5F" w:rsidP="00A75E5F">
      <w:pPr>
        <w:pStyle w:val="Spacer"/>
      </w:pPr>
    </w:p>
    <w:p w:rsidR="00A75E5F" w:rsidRPr="003A3769" w:rsidRDefault="00A75E5F" w:rsidP="00A75E5F">
      <w:pPr>
        <w:pStyle w:val="Heading2"/>
      </w:pPr>
      <w:bookmarkStart w:id="14" w:name="_Ref419707145"/>
      <w:bookmarkStart w:id="15" w:name="_Ref419707149"/>
      <w:bookmarkStart w:id="16" w:name="_Ref419707163"/>
      <w:bookmarkStart w:id="17" w:name="_Ref430961952"/>
      <w:bookmarkStart w:id="18" w:name="_Ref430961953"/>
      <w:bookmarkStart w:id="19" w:name="_Ref430961954"/>
      <w:bookmarkStart w:id="20" w:name="_Toc433815248"/>
      <w:bookmarkStart w:id="21" w:name="_Toc434475242"/>
      <w:r w:rsidRPr="003A3769">
        <w:t>Information applicable to all welfare services</w:t>
      </w:r>
      <w:bookmarkEnd w:id="14"/>
      <w:bookmarkEnd w:id="15"/>
      <w:bookmarkEnd w:id="16"/>
      <w:bookmarkEnd w:id="17"/>
      <w:bookmarkEnd w:id="18"/>
      <w:bookmarkEnd w:id="19"/>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A75E5F" w:rsidRPr="003A3769" w:rsidTr="00162060">
        <w:trPr>
          <w:cantSplit/>
        </w:trPr>
        <w:tc>
          <w:tcPr>
            <w:tcW w:w="1927" w:type="dxa"/>
            <w:tcMar>
              <w:right w:w="227" w:type="dxa"/>
            </w:tcMar>
          </w:tcPr>
          <w:p w:rsidR="00A75E5F" w:rsidRPr="003A3769" w:rsidRDefault="00A75E5F" w:rsidP="00162060">
            <w:pPr>
              <w:pStyle w:val="LHcolumn"/>
            </w:pPr>
          </w:p>
        </w:tc>
        <w:tc>
          <w:tcPr>
            <w:tcW w:w="7706" w:type="dxa"/>
          </w:tcPr>
          <w:p w:rsidR="00A75E5F" w:rsidRPr="003A3769" w:rsidRDefault="00A75E5F" w:rsidP="00162060">
            <w:r w:rsidRPr="003A3769">
              <w:t>This section provides overarching information applicable to all welfare services.</w:t>
            </w:r>
          </w:p>
        </w:tc>
      </w:tr>
    </w:tbl>
    <w:p w:rsidR="00A75E5F" w:rsidRPr="00F80843" w:rsidRDefault="00A75E5F" w:rsidP="00A75E5F"/>
    <w:p w:rsidR="00A75E5F" w:rsidRPr="003A3769" w:rsidRDefault="00A75E5F" w:rsidP="00A75E5F">
      <w:pPr>
        <w:pStyle w:val="Heading3"/>
        <w:ind w:left="0"/>
      </w:pPr>
      <w:bookmarkStart w:id="22" w:name="_Toc433815249"/>
      <w:bookmarkStart w:id="23" w:name="_Toc434475243"/>
      <w:r w:rsidRPr="003A3769">
        <w:t>Welfare services agency representation</w:t>
      </w:r>
      <w:bookmarkEnd w:id="22"/>
      <w:bookmarkEnd w:id="2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A75E5F" w:rsidRPr="003A3769" w:rsidTr="00162060">
        <w:trPr>
          <w:cantSplit/>
          <w:trHeight w:val="4844"/>
        </w:trPr>
        <w:tc>
          <w:tcPr>
            <w:tcW w:w="1927" w:type="dxa"/>
            <w:tcMar>
              <w:right w:w="227" w:type="dxa"/>
            </w:tcMar>
          </w:tcPr>
          <w:p w:rsidR="00A75E5F" w:rsidRPr="003A3769" w:rsidRDefault="00A75E5F" w:rsidP="00162060">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A75E5F" w:rsidRDefault="00A75E5F" w:rsidP="00162060">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A75E5F" w:rsidRDefault="00A75E5F" w:rsidP="00162060">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A75E5F" w:rsidRPr="004153BA" w:rsidRDefault="00A75E5F" w:rsidP="00162060">
            <w:pPr>
              <w:pStyle w:val="Bullet"/>
              <w:rPr>
                <w:sz w:val="20"/>
                <w:szCs w:val="20"/>
              </w:rPr>
            </w:pPr>
            <w:r w:rsidRPr="00BC537E">
              <w:t xml:space="preserve">identifying alternative agencies or organisations to coordinate or support the delivery of the welfare services sub-function, or </w:t>
            </w:r>
          </w:p>
          <w:p w:rsidR="00A75E5F" w:rsidRDefault="00A75E5F" w:rsidP="00162060">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A75E5F" w:rsidRPr="00BC537E" w:rsidRDefault="00A75E5F" w:rsidP="00162060">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A75E5F" w:rsidRPr="003A3769" w:rsidRDefault="00A75E5F" w:rsidP="00F55AE7">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w:t>
            </w:r>
            <w:r w:rsidR="00F55AE7" w:rsidRPr="00F55AE7">
              <w:t xml:space="preserve">Part II </w:t>
            </w:r>
            <w:r w:rsidR="00F55AE7"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A75E5F" w:rsidRPr="00F80843" w:rsidRDefault="00A75E5F" w:rsidP="00A75E5F"/>
    <w:p w:rsidR="00A75E5F" w:rsidRPr="003A3769" w:rsidRDefault="00A75E5F" w:rsidP="00A75E5F">
      <w:pPr>
        <w:pStyle w:val="Heading3"/>
        <w:ind w:left="0"/>
      </w:pPr>
      <w:bookmarkStart w:id="24" w:name="_Toc433815250"/>
      <w:bookmarkStart w:id="25" w:name="_Toc434475244"/>
      <w:r w:rsidRPr="003A3769">
        <w:lastRenderedPageBreak/>
        <w:t>Human rights</w:t>
      </w:r>
      <w:bookmarkEnd w:id="24"/>
      <w:bookmarkEnd w:id="2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A75E5F" w:rsidRPr="003A3769" w:rsidTr="00162060">
        <w:trPr>
          <w:cantSplit/>
        </w:trPr>
        <w:tc>
          <w:tcPr>
            <w:tcW w:w="1928" w:type="dxa"/>
            <w:tcMar>
              <w:right w:w="227" w:type="dxa"/>
            </w:tcMar>
          </w:tcPr>
          <w:p w:rsidR="00A75E5F" w:rsidRPr="003A3769" w:rsidRDefault="00A75E5F" w:rsidP="00162060">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A75E5F" w:rsidRDefault="00A75E5F" w:rsidP="00162060">
            <w:r w:rsidRPr="003A3769">
              <w:t xml:space="preserve">The provision of welfare services to people affected by an emergency, either via a </w:t>
            </w:r>
            <w:r w:rsidR="00221CB6">
              <w:t>Civil Defence Centre (</w:t>
            </w:r>
            <w:r w:rsidRPr="003A3769">
              <w:t>CDC</w:t>
            </w:r>
            <w:r w:rsidR="00221CB6">
              <w:t>)</w:t>
            </w:r>
            <w:r w:rsidRPr="003A3769">
              <w:t xml:space="preserve"> or </w:t>
            </w:r>
            <w:r>
              <w:t xml:space="preserve">in a </w:t>
            </w:r>
            <w:r w:rsidRPr="003A3769">
              <w:t>community setting, must contribute to ensuring that New Zealand meets its national and international human rights commitments.</w:t>
            </w:r>
          </w:p>
          <w:p w:rsidR="00A75E5F" w:rsidRPr="00FE5C6B" w:rsidRDefault="00A75E5F" w:rsidP="00162060">
            <w:r w:rsidRPr="00FE5C6B">
              <w:t>See the Human Rights C</w:t>
            </w:r>
            <w:r>
              <w:t>ommission website</w:t>
            </w:r>
            <w:r w:rsidRPr="00FE5C6B">
              <w:t xml:space="preserve"> </w:t>
            </w:r>
            <w:hyperlink r:id="rId25" w:history="1">
              <w:r w:rsidRPr="00CE2AF7">
                <w:rPr>
                  <w:rStyle w:val="Hyperlink"/>
                </w:rPr>
                <w:t>www.hrc.co.nz</w:t>
              </w:r>
            </w:hyperlink>
            <w:r w:rsidRPr="00FE5C6B">
              <w:t xml:space="preserve"> under the ‘Your rights’ tab for more information.</w:t>
            </w:r>
          </w:p>
          <w:p w:rsidR="00A75E5F" w:rsidRPr="00FE5C6B" w:rsidRDefault="00A75E5F" w:rsidP="00162060">
            <w:pPr>
              <w:pStyle w:val="Spacer"/>
            </w:pPr>
          </w:p>
        </w:tc>
      </w:tr>
      <w:tr w:rsidR="00A75E5F" w:rsidRPr="003A3769" w:rsidTr="00162060">
        <w:trPr>
          <w:cantSplit/>
        </w:trPr>
        <w:tc>
          <w:tcPr>
            <w:tcW w:w="1928" w:type="dxa"/>
            <w:tcMar>
              <w:right w:w="227" w:type="dxa"/>
            </w:tcMar>
          </w:tcPr>
          <w:p w:rsidR="00A75E5F" w:rsidRPr="003A3769" w:rsidRDefault="00A75E5F" w:rsidP="00162060">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A75E5F" w:rsidRDefault="00A75E5F" w:rsidP="00162060">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A75E5F" w:rsidRPr="003A3769" w:rsidRDefault="00A75E5F" w:rsidP="00162060">
            <w:pPr>
              <w:pStyle w:val="Spacer"/>
            </w:pPr>
          </w:p>
        </w:tc>
      </w:tr>
      <w:tr w:rsidR="00A75E5F" w:rsidRPr="003A3769" w:rsidTr="00162060">
        <w:trPr>
          <w:cantSplit/>
        </w:trPr>
        <w:tc>
          <w:tcPr>
            <w:tcW w:w="1928" w:type="dxa"/>
            <w:tcMar>
              <w:right w:w="227" w:type="dxa"/>
            </w:tcMar>
          </w:tcPr>
          <w:p w:rsidR="00A75E5F" w:rsidRPr="003A3769" w:rsidRDefault="00A75E5F" w:rsidP="00162060">
            <w:pPr>
              <w:pStyle w:val="LHcolumn"/>
              <w:rPr>
                <w:noProof/>
              </w:rPr>
            </w:pPr>
            <w:r w:rsidRPr="003A3769">
              <w:rPr>
                <w:noProof/>
              </w:rPr>
              <w:drawing>
                <wp:anchor distT="0" distB="0" distL="114300" distR="114300" simplePos="0" relativeHeight="251668480"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A75E5F" w:rsidRPr="003A3769" w:rsidRDefault="00A75E5F" w:rsidP="00162060">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A75E5F" w:rsidRPr="003A3769" w:rsidRDefault="00A75E5F" w:rsidP="00162060">
            <w:pPr>
              <w:pStyle w:val="Bullet"/>
              <w:rPr>
                <w:i/>
                <w:iCs/>
              </w:rPr>
            </w:pPr>
            <w:r w:rsidRPr="003A3769">
              <w:rPr>
                <w:i/>
                <w:iCs/>
              </w:rPr>
              <w:t>Including people with disabilities: Information for the CDEM Sector [IS 13/13]</w:t>
            </w:r>
          </w:p>
          <w:p w:rsidR="00A75E5F" w:rsidRDefault="00A75E5F" w:rsidP="00162060">
            <w:pPr>
              <w:pStyle w:val="Bullet"/>
              <w:rPr>
                <w:i/>
                <w:iCs/>
              </w:rPr>
            </w:pPr>
            <w:r w:rsidRPr="003A3769">
              <w:rPr>
                <w:i/>
                <w:iCs/>
              </w:rPr>
              <w:t>Including culturally and linguistically diverse (CALD) communities: Information for the CDEM Sector [IS12/13].</w:t>
            </w:r>
          </w:p>
          <w:p w:rsidR="00A75E5F" w:rsidRDefault="00A75E5F" w:rsidP="00F55AE7">
            <w:pPr>
              <w:rPr>
                <w:i/>
                <w:iCs/>
              </w:rPr>
            </w:pPr>
            <w:r w:rsidRPr="003A3769">
              <w:t xml:space="preserve">Along with the resources listed </w:t>
            </w:r>
            <w:r w:rsidRPr="00F55AE7">
              <w:t xml:space="preserve">above, see </w:t>
            </w:r>
            <w:r w:rsidR="00F55AE7" w:rsidRPr="00F55AE7">
              <w:rPr>
                <w:iCs/>
              </w:rPr>
              <w:t xml:space="preserve">Part I of the </w:t>
            </w:r>
            <w:r w:rsidR="00F55AE7" w:rsidRPr="00F55AE7">
              <w:rPr>
                <w:i/>
                <w:iCs/>
              </w:rPr>
              <w:t xml:space="preserve">Welfare Services in an Emergency Director’s Guideline [DGL 1/15] </w:t>
            </w:r>
            <w:r w:rsidR="00F55AE7" w:rsidRPr="00F55AE7">
              <w:rPr>
                <w:iCs/>
              </w:rPr>
              <w:t xml:space="preserve">(Appendix H </w:t>
            </w:r>
            <w:r w:rsidR="00F55AE7" w:rsidRPr="00F55AE7">
              <w:rPr>
                <w:i/>
                <w:iCs/>
              </w:rPr>
              <w:t>Accessibility</w:t>
            </w:r>
            <w:r w:rsidR="00F55AE7" w:rsidRPr="00F55AE7">
              <w:rPr>
                <w:iCs/>
              </w:rPr>
              <w:t>)</w:t>
            </w:r>
            <w:r w:rsidR="00F55AE7">
              <w:rPr>
                <w:iCs/>
              </w:rPr>
              <w:t>.</w:t>
            </w:r>
            <w:r w:rsidR="00F55AE7">
              <w:rPr>
                <w:i/>
                <w:iCs/>
              </w:rPr>
              <w:t xml:space="preserve"> </w:t>
            </w:r>
          </w:p>
          <w:p w:rsidR="00F55AE7" w:rsidRPr="003A3769" w:rsidRDefault="00F55AE7" w:rsidP="00F55AE7">
            <w:r>
              <w:t xml:space="preserve">These are available at </w:t>
            </w:r>
            <w:hyperlink r:id="rId26" w:history="1">
              <w:r w:rsidRPr="00202F88">
                <w:rPr>
                  <w:rStyle w:val="Hyperlink"/>
                </w:rPr>
                <w:t>www.civildefence.govt.nz</w:t>
              </w:r>
            </w:hyperlink>
            <w:r>
              <w:t xml:space="preserve"> (search for the document name).</w:t>
            </w:r>
          </w:p>
        </w:tc>
      </w:tr>
    </w:tbl>
    <w:p w:rsidR="00A75E5F" w:rsidRPr="00604785" w:rsidRDefault="00A75E5F" w:rsidP="00A75E5F"/>
    <w:p w:rsidR="00A75E5F" w:rsidRPr="003A3769" w:rsidRDefault="00A75E5F" w:rsidP="00A75E5F">
      <w:pPr>
        <w:pStyle w:val="Heading3"/>
        <w:ind w:left="0"/>
      </w:pPr>
      <w:bookmarkStart w:id="26" w:name="_Toc433815251"/>
      <w:bookmarkStart w:id="27" w:name="_Toc434475245"/>
      <w:r w:rsidRPr="003A3769">
        <w:t>Working with communities</w:t>
      </w:r>
      <w:bookmarkEnd w:id="26"/>
      <w:bookmarkEnd w:id="2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A75E5F" w:rsidRPr="003A3769" w:rsidTr="00162060">
        <w:trPr>
          <w:cantSplit/>
        </w:trPr>
        <w:tc>
          <w:tcPr>
            <w:tcW w:w="2000" w:type="dxa"/>
            <w:tcMar>
              <w:right w:w="227" w:type="dxa"/>
            </w:tcMar>
          </w:tcPr>
          <w:p w:rsidR="00A75E5F" w:rsidRPr="003A3769" w:rsidRDefault="00A75E5F" w:rsidP="00162060">
            <w:pPr>
              <w:pStyle w:val="LHcolumn"/>
            </w:pPr>
            <w:r w:rsidRPr="003A3769">
              <w:t>An inclusive approach</w:t>
            </w:r>
          </w:p>
        </w:tc>
        <w:tc>
          <w:tcPr>
            <w:tcW w:w="7633" w:type="dxa"/>
          </w:tcPr>
          <w:p w:rsidR="00A75E5F" w:rsidRDefault="00A75E5F" w:rsidP="00162060">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A75E5F" w:rsidRDefault="00A75E5F" w:rsidP="00162060">
            <w:pPr>
              <w:pStyle w:val="Bullet"/>
            </w:pPr>
            <w:r>
              <w:t>specific challenges to address</w:t>
            </w:r>
          </w:p>
          <w:p w:rsidR="00A75E5F" w:rsidRDefault="00A75E5F" w:rsidP="00162060">
            <w:pPr>
              <w:pStyle w:val="Bullet"/>
            </w:pPr>
            <w:proofErr w:type="gramStart"/>
            <w:r>
              <w:t>skills</w:t>
            </w:r>
            <w:proofErr w:type="gramEnd"/>
            <w:r>
              <w:t xml:space="preserve"> and strengths that may contribute to welfare services delivery.</w:t>
            </w:r>
          </w:p>
          <w:p w:rsidR="00A75E5F" w:rsidRPr="003A3769" w:rsidRDefault="00A75E5F" w:rsidP="00162060">
            <w:pPr>
              <w:pStyle w:val="Spacer"/>
            </w:pPr>
          </w:p>
        </w:tc>
      </w:tr>
      <w:tr w:rsidR="00A75E5F" w:rsidRPr="003A3769" w:rsidTr="00162060">
        <w:trPr>
          <w:cantSplit/>
        </w:trPr>
        <w:tc>
          <w:tcPr>
            <w:tcW w:w="2000" w:type="dxa"/>
            <w:tcMar>
              <w:right w:w="227" w:type="dxa"/>
            </w:tcMar>
          </w:tcPr>
          <w:p w:rsidR="00A75E5F" w:rsidRPr="003A3769" w:rsidRDefault="00A75E5F" w:rsidP="00162060">
            <w:pPr>
              <w:pStyle w:val="LHcolumn"/>
            </w:pPr>
            <w:r>
              <w:lastRenderedPageBreak/>
              <w:t>Considerations</w:t>
            </w:r>
          </w:p>
        </w:tc>
        <w:tc>
          <w:tcPr>
            <w:tcW w:w="7633" w:type="dxa"/>
          </w:tcPr>
          <w:p w:rsidR="00A75E5F" w:rsidRPr="003A3769" w:rsidRDefault="00A75E5F" w:rsidP="00162060">
            <w:r w:rsidRPr="003A3769">
              <w:t>Consider when planning:</w:t>
            </w:r>
          </w:p>
          <w:p w:rsidR="00A75E5F" w:rsidRPr="003A3769" w:rsidRDefault="00A75E5F" w:rsidP="00162060">
            <w:pPr>
              <w:pStyle w:val="Bullet"/>
            </w:pPr>
            <w:r w:rsidRPr="003A3769">
              <w:t>age</w:t>
            </w:r>
          </w:p>
          <w:p w:rsidR="00A75E5F" w:rsidRPr="003A3769" w:rsidRDefault="00A75E5F" w:rsidP="00162060">
            <w:pPr>
              <w:pStyle w:val="Bullet"/>
            </w:pPr>
            <w:r w:rsidRPr="003A3769">
              <w:t>gender</w:t>
            </w:r>
          </w:p>
          <w:p w:rsidR="00A75E5F" w:rsidRPr="003A3769" w:rsidRDefault="00A75E5F" w:rsidP="00162060">
            <w:pPr>
              <w:pStyle w:val="Bullet"/>
            </w:pPr>
            <w:r w:rsidRPr="003A3769">
              <w:t>children and young people</w:t>
            </w:r>
          </w:p>
          <w:p w:rsidR="00A75E5F" w:rsidRPr="003A3769" w:rsidRDefault="00A75E5F" w:rsidP="00162060">
            <w:pPr>
              <w:pStyle w:val="Bullet"/>
            </w:pPr>
            <w:r w:rsidRPr="003A3769">
              <w:t>people living alone</w:t>
            </w:r>
          </w:p>
          <w:p w:rsidR="00A75E5F" w:rsidRPr="003A3769" w:rsidRDefault="00A75E5F" w:rsidP="00162060">
            <w:pPr>
              <w:pStyle w:val="Bullet"/>
            </w:pPr>
            <w:r w:rsidRPr="003A3769">
              <w:t>elderly</w:t>
            </w:r>
          </w:p>
          <w:p w:rsidR="00A75E5F" w:rsidRPr="003A3769" w:rsidRDefault="00A75E5F" w:rsidP="00162060">
            <w:pPr>
              <w:pStyle w:val="Bullet"/>
              <w:rPr>
                <w:b/>
              </w:rPr>
            </w:pPr>
            <w:r w:rsidRPr="003A3769">
              <w:t>health and disability issues</w:t>
            </w:r>
          </w:p>
          <w:p w:rsidR="00A75E5F" w:rsidRPr="003A3769" w:rsidRDefault="00A75E5F" w:rsidP="00162060">
            <w:pPr>
              <w:pStyle w:val="Bullet"/>
            </w:pPr>
            <w:r w:rsidRPr="003A3769">
              <w:t>mental health and general health issues</w:t>
            </w:r>
          </w:p>
          <w:p w:rsidR="00A75E5F" w:rsidRPr="003A3769" w:rsidRDefault="00A75E5F" w:rsidP="00162060">
            <w:pPr>
              <w:pStyle w:val="Bullet"/>
            </w:pPr>
            <w:r w:rsidRPr="003A3769">
              <w:t>drug or alcohol dependency</w:t>
            </w:r>
          </w:p>
          <w:p w:rsidR="00A75E5F" w:rsidRPr="003A3769" w:rsidRDefault="00A75E5F" w:rsidP="00162060">
            <w:pPr>
              <w:pStyle w:val="Bullet"/>
            </w:pPr>
            <w:r w:rsidRPr="003A3769">
              <w:t>cultural requirements</w:t>
            </w:r>
          </w:p>
          <w:p w:rsidR="00A75E5F" w:rsidRPr="003A3769" w:rsidRDefault="00A75E5F" w:rsidP="00162060">
            <w:pPr>
              <w:pStyle w:val="Bullet"/>
            </w:pPr>
            <w:r w:rsidRPr="003A3769">
              <w:t>ethnicity and language</w:t>
            </w:r>
          </w:p>
          <w:p w:rsidR="00A75E5F" w:rsidRPr="003A3769" w:rsidRDefault="00A75E5F" w:rsidP="00162060">
            <w:pPr>
              <w:pStyle w:val="Bullet"/>
              <w:rPr>
                <w:b/>
              </w:rPr>
            </w:pPr>
            <w:r w:rsidRPr="003A3769">
              <w:t>socio-economic status</w:t>
            </w:r>
          </w:p>
          <w:p w:rsidR="00A75E5F" w:rsidRPr="003A3769" w:rsidRDefault="00A75E5F" w:rsidP="00162060">
            <w:pPr>
              <w:pStyle w:val="Bullet"/>
            </w:pPr>
            <w:r w:rsidRPr="003A3769">
              <w:t>people with companion animals</w:t>
            </w:r>
          </w:p>
          <w:p w:rsidR="00A75E5F" w:rsidRPr="003A3769" w:rsidRDefault="00A75E5F" w:rsidP="00162060">
            <w:pPr>
              <w:pStyle w:val="Bullet"/>
              <w:rPr>
                <w:b/>
              </w:rPr>
            </w:pPr>
            <w:r w:rsidRPr="003A3769">
              <w:t>isolation, and</w:t>
            </w:r>
          </w:p>
          <w:p w:rsidR="00A75E5F" w:rsidRDefault="00A75E5F" w:rsidP="00162060">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A75E5F" w:rsidRPr="00604785" w:rsidRDefault="00A75E5F" w:rsidP="00162060">
            <w:pPr>
              <w:pStyle w:val="Spacer"/>
            </w:pPr>
          </w:p>
        </w:tc>
      </w:tr>
      <w:tr w:rsidR="00A75E5F" w:rsidRPr="003A3769" w:rsidTr="00162060">
        <w:trPr>
          <w:cantSplit/>
        </w:trPr>
        <w:tc>
          <w:tcPr>
            <w:tcW w:w="2000" w:type="dxa"/>
            <w:tcMar>
              <w:right w:w="227" w:type="dxa"/>
            </w:tcMar>
          </w:tcPr>
          <w:p w:rsidR="00A75E5F" w:rsidRPr="003A3769" w:rsidRDefault="00A75E5F" w:rsidP="00162060">
            <w:pPr>
              <w:pStyle w:val="LHcolumn"/>
            </w:pPr>
            <w:r w:rsidRPr="003A3769">
              <w:t>Utilising community networks</w:t>
            </w:r>
          </w:p>
        </w:tc>
        <w:tc>
          <w:tcPr>
            <w:tcW w:w="7633" w:type="dxa"/>
          </w:tcPr>
          <w:p w:rsidR="00A75E5F" w:rsidRPr="003A3769" w:rsidRDefault="00A75E5F" w:rsidP="00162060">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A75E5F" w:rsidRPr="003A3769" w:rsidRDefault="00A75E5F" w:rsidP="00162060">
            <w:pPr>
              <w:pStyle w:val="Spacer"/>
            </w:pPr>
          </w:p>
        </w:tc>
      </w:tr>
      <w:tr w:rsidR="00A75E5F" w:rsidRPr="003A3769" w:rsidTr="00162060">
        <w:trPr>
          <w:cantSplit/>
          <w:trHeight w:val="2421"/>
        </w:trPr>
        <w:tc>
          <w:tcPr>
            <w:tcW w:w="2000" w:type="dxa"/>
            <w:tcMar>
              <w:right w:w="227" w:type="dxa"/>
            </w:tcMar>
          </w:tcPr>
          <w:p w:rsidR="00A75E5F" w:rsidRPr="003A3769" w:rsidRDefault="00A75E5F" w:rsidP="00162060">
            <w:pPr>
              <w:pStyle w:val="LHcolumn"/>
              <w:rPr>
                <w:b w:val="0"/>
              </w:rPr>
            </w:pPr>
            <w:r w:rsidRPr="003A3769">
              <w:t>Culturally and linguistically diverse (CALD) communities</w:t>
            </w:r>
          </w:p>
        </w:tc>
        <w:tc>
          <w:tcPr>
            <w:tcW w:w="7633" w:type="dxa"/>
          </w:tcPr>
          <w:p w:rsidR="00A75E5F" w:rsidRPr="003A3769" w:rsidRDefault="00A75E5F" w:rsidP="00162060">
            <w:r w:rsidRPr="003A3769">
              <w:t xml:space="preserve">CALD communities have many strengths, including skills, experience, and language capabilities. </w:t>
            </w:r>
          </w:p>
          <w:p w:rsidR="00A75E5F" w:rsidRPr="003A3769" w:rsidRDefault="00A75E5F" w:rsidP="00162060">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A75E5F" w:rsidRPr="00C76E18" w:rsidRDefault="00A75E5F" w:rsidP="00162060">
            <w:pPr>
              <w:pStyle w:val="Spacer"/>
            </w:pPr>
          </w:p>
        </w:tc>
      </w:tr>
      <w:tr w:rsidR="00A75E5F" w:rsidRPr="003A3769" w:rsidTr="00162060">
        <w:trPr>
          <w:cantSplit/>
          <w:trHeight w:val="2705"/>
        </w:trPr>
        <w:tc>
          <w:tcPr>
            <w:tcW w:w="2000" w:type="dxa"/>
            <w:tcMar>
              <w:right w:w="227" w:type="dxa"/>
            </w:tcMar>
          </w:tcPr>
          <w:p w:rsidR="00A75E5F" w:rsidRPr="003A3769" w:rsidRDefault="00A75E5F" w:rsidP="00162060">
            <w:pPr>
              <w:pStyle w:val="LHcolumn"/>
            </w:pPr>
            <w:r w:rsidRPr="003A3769">
              <w:t>People with disabilities</w:t>
            </w:r>
          </w:p>
        </w:tc>
        <w:tc>
          <w:tcPr>
            <w:tcW w:w="7633" w:type="dxa"/>
          </w:tcPr>
          <w:p w:rsidR="00A75E5F" w:rsidRPr="003A3769" w:rsidRDefault="00A75E5F" w:rsidP="00162060">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A75E5F" w:rsidRPr="003A3769" w:rsidRDefault="00A75E5F" w:rsidP="00162060">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A75E5F" w:rsidRPr="003A3769" w:rsidRDefault="00A75E5F" w:rsidP="00162060">
            <w:pPr>
              <w:pStyle w:val="Paragraphspacer"/>
            </w:pPr>
          </w:p>
        </w:tc>
      </w:tr>
    </w:tbl>
    <w:p w:rsidR="00A75E5F" w:rsidRPr="003A3769" w:rsidRDefault="00A75E5F" w:rsidP="00A75E5F"/>
    <w:p w:rsidR="00A75E5F" w:rsidRPr="003A3769" w:rsidRDefault="00A75E5F" w:rsidP="00A75E5F">
      <w:pPr>
        <w:pStyle w:val="Heading3"/>
        <w:ind w:left="0"/>
      </w:pPr>
      <w:bookmarkStart w:id="28" w:name="_Ref421783306"/>
      <w:bookmarkStart w:id="29" w:name="_Ref421783314"/>
      <w:bookmarkStart w:id="30" w:name="_Ref421783321"/>
      <w:bookmarkStart w:id="31" w:name="_Toc433815252"/>
      <w:bookmarkStart w:id="32" w:name="_Toc434475246"/>
      <w:r w:rsidRPr="003A3769">
        <w:lastRenderedPageBreak/>
        <w:t>Minimum standards in the Sphere Handbook</w:t>
      </w:r>
      <w:bookmarkEnd w:id="28"/>
      <w:bookmarkEnd w:id="29"/>
      <w:bookmarkEnd w:id="30"/>
      <w:bookmarkEnd w:id="31"/>
      <w:bookmarkEnd w:id="3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5"/>
        <w:gridCol w:w="7269"/>
      </w:tblGrid>
      <w:tr w:rsidR="00A75E5F" w:rsidRPr="003A3769" w:rsidTr="00162060">
        <w:trPr>
          <w:cantSplit/>
        </w:trPr>
        <w:tc>
          <w:tcPr>
            <w:tcW w:w="1865" w:type="dxa"/>
            <w:tcMar>
              <w:right w:w="227" w:type="dxa"/>
            </w:tcMar>
          </w:tcPr>
          <w:p w:rsidR="00A75E5F" w:rsidRPr="003A3769" w:rsidRDefault="00A75E5F" w:rsidP="00162060">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269" w:type="dxa"/>
          </w:tcPr>
          <w:p w:rsidR="00A75E5F" w:rsidRDefault="00A75E5F" w:rsidP="00162060">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A75E5F" w:rsidRDefault="00A75E5F" w:rsidP="00162060">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A75E5F" w:rsidRPr="00FE75AF" w:rsidRDefault="00A75E5F" w:rsidP="00162060">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A75E5F" w:rsidRPr="003A3769" w:rsidRDefault="00A75E5F" w:rsidP="00162060">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27" w:history="1">
              <w:r w:rsidRPr="00FE75AF">
                <w:rPr>
                  <w:color w:val="005A9B" w:themeColor="background2"/>
                  <w:u w:val="single"/>
                </w:rPr>
                <w:t>www.spherehandbook.org</w:t>
              </w:r>
            </w:hyperlink>
            <w:r w:rsidRPr="00FE75AF">
              <w:rPr>
                <w:color w:val="005A9B" w:themeColor="background2"/>
              </w:rPr>
              <w:t>.</w:t>
            </w:r>
          </w:p>
          <w:p w:rsidR="00A75E5F" w:rsidRPr="003A3769" w:rsidRDefault="00A75E5F" w:rsidP="00162060">
            <w:pPr>
              <w:pStyle w:val="Spacer"/>
            </w:pPr>
          </w:p>
        </w:tc>
      </w:tr>
      <w:tr w:rsidR="00A75E5F" w:rsidRPr="003A3769" w:rsidTr="00162060">
        <w:trPr>
          <w:cantSplit/>
        </w:trPr>
        <w:tc>
          <w:tcPr>
            <w:tcW w:w="1865" w:type="dxa"/>
            <w:tcMar>
              <w:right w:w="227" w:type="dxa"/>
            </w:tcMar>
          </w:tcPr>
          <w:p w:rsidR="00A75E5F" w:rsidRPr="003A3769" w:rsidRDefault="00A75E5F" w:rsidP="00162060">
            <w:pPr>
              <w:pStyle w:val="LHcolumn"/>
              <w:rPr>
                <w:noProof/>
              </w:rPr>
            </w:pPr>
            <w:r w:rsidRPr="003A3769">
              <w:rPr>
                <w:noProof/>
              </w:rPr>
              <w:t>Key considerations</w:t>
            </w:r>
          </w:p>
        </w:tc>
        <w:tc>
          <w:tcPr>
            <w:tcW w:w="7269" w:type="dxa"/>
          </w:tcPr>
          <w:p w:rsidR="00A75E5F" w:rsidRPr="003A3769" w:rsidRDefault="00A75E5F" w:rsidP="00162060">
            <w:r w:rsidRPr="003A3769">
              <w:t xml:space="preserve">Some of the key requirements (taken from the Sphere Handbook) to be considered when planning for people affected by an emergency are </w:t>
            </w:r>
            <w:r>
              <w:t xml:space="preserve">shown in </w:t>
            </w:r>
            <w:r w:rsidR="009A0A02">
              <w:fldChar w:fldCharType="begin"/>
            </w:r>
            <w:r>
              <w:instrText xml:space="preserve"> REF _Ref430697173 \h </w:instrText>
            </w:r>
            <w:r w:rsidR="009A0A02">
              <w:fldChar w:fldCharType="separate"/>
            </w:r>
            <w:r w:rsidR="00617505" w:rsidRPr="003A3769">
              <w:t xml:space="preserve">Table </w:t>
            </w:r>
            <w:r w:rsidR="00617505">
              <w:rPr>
                <w:noProof/>
              </w:rPr>
              <w:t>1</w:t>
            </w:r>
            <w:r w:rsidR="009A0A02">
              <w:fldChar w:fldCharType="end"/>
            </w:r>
            <w:r w:rsidRPr="003A3769">
              <w:t>.</w:t>
            </w:r>
          </w:p>
          <w:p w:rsidR="00A75E5F" w:rsidRPr="003A3769" w:rsidRDefault="00A75E5F" w:rsidP="00162060">
            <w:pPr>
              <w:pStyle w:val="Caption"/>
              <w:keepNext/>
            </w:pPr>
            <w:bookmarkStart w:id="33" w:name="_Ref430697173"/>
            <w:r w:rsidRPr="003A3769">
              <w:t xml:space="preserve">Table </w:t>
            </w:r>
            <w:fldSimple w:instr=" SEQ Table \* ARABIC ">
              <w:r w:rsidR="00617505">
                <w:rPr>
                  <w:noProof/>
                </w:rPr>
                <w:t>1</w:t>
              </w:r>
            </w:fldSimple>
            <w:bookmarkEnd w:id="33"/>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719"/>
              <w:gridCol w:w="4304"/>
            </w:tblGrid>
            <w:tr w:rsidR="00A75E5F" w:rsidRPr="003A3769" w:rsidTr="00162060">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A75E5F" w:rsidRPr="003A3769" w:rsidRDefault="00A75E5F" w:rsidP="00162060">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A75E5F" w:rsidRPr="003A3769" w:rsidRDefault="00A75E5F" w:rsidP="00162060">
                  <w:pPr>
                    <w:pStyle w:val="Tableheading"/>
                  </w:pPr>
                  <w:r w:rsidRPr="003A3769">
                    <w:t>Key requirements</w:t>
                  </w:r>
                </w:p>
              </w:tc>
            </w:tr>
            <w:tr w:rsidR="00A75E5F" w:rsidRPr="003A3769" w:rsidTr="00162060">
              <w:trPr>
                <w:cantSplit/>
              </w:trPr>
              <w:tc>
                <w:tcPr>
                  <w:tcW w:w="1936" w:type="pct"/>
                  <w:vMerge w:val="restart"/>
                  <w:tcBorders>
                    <w:top w:val="single" w:sz="6" w:space="0" w:color="005A9B" w:themeColor="background2"/>
                    <w:bottom w:val="single" w:sz="6" w:space="0" w:color="005A9B" w:themeColor="background2"/>
                  </w:tcBorders>
                  <w:vAlign w:val="center"/>
                </w:tcPr>
                <w:p w:rsidR="00A75E5F" w:rsidRPr="003A3769" w:rsidRDefault="00A75E5F" w:rsidP="00162060">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Poor health, disease and wellbeing</w:t>
                  </w:r>
                </w:p>
              </w:tc>
            </w:tr>
            <w:tr w:rsidR="00A75E5F" w:rsidRPr="003A3769" w:rsidTr="00162060">
              <w:trPr>
                <w:cantSplit/>
              </w:trPr>
              <w:tc>
                <w:tcPr>
                  <w:tcW w:w="1936" w:type="pct"/>
                  <w:vMerge/>
                  <w:tcBorders>
                    <w:top w:val="single" w:sz="6" w:space="0" w:color="005A9B" w:themeColor="background2"/>
                    <w:bottom w:val="single" w:sz="6" w:space="0" w:color="005A9B" w:themeColor="background2"/>
                  </w:tcBorders>
                </w:tcPr>
                <w:p w:rsidR="00A75E5F" w:rsidRPr="003A3769" w:rsidRDefault="00A75E5F" w:rsidP="00162060">
                  <w:pPr>
                    <w:pStyle w:val="Tablenormal0"/>
                  </w:pP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Environment, weather, heat or cold</w:t>
                  </w:r>
                </w:p>
              </w:tc>
            </w:tr>
            <w:tr w:rsidR="00A75E5F" w:rsidRPr="003A3769" w:rsidTr="00162060">
              <w:trPr>
                <w:cantSplit/>
              </w:trPr>
              <w:tc>
                <w:tcPr>
                  <w:tcW w:w="1936" w:type="pct"/>
                  <w:vMerge/>
                  <w:tcBorders>
                    <w:top w:val="single" w:sz="6" w:space="0" w:color="005A9B" w:themeColor="background2"/>
                    <w:bottom w:val="single" w:sz="6" w:space="0" w:color="005A9B" w:themeColor="background2"/>
                  </w:tcBorders>
                </w:tcPr>
                <w:p w:rsidR="00A75E5F" w:rsidRPr="003A3769" w:rsidRDefault="00A75E5F" w:rsidP="00162060">
                  <w:pPr>
                    <w:pStyle w:val="Tablenormal0"/>
                  </w:pP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Violence, crime or abuse</w:t>
                  </w:r>
                </w:p>
              </w:tc>
            </w:tr>
            <w:tr w:rsidR="00A75E5F" w:rsidRPr="003A3769" w:rsidTr="00162060">
              <w:trPr>
                <w:cantSplit/>
              </w:trPr>
              <w:tc>
                <w:tcPr>
                  <w:tcW w:w="1936" w:type="pct"/>
                  <w:vMerge/>
                  <w:tcBorders>
                    <w:top w:val="single" w:sz="6" w:space="0" w:color="005A9B" w:themeColor="background2"/>
                    <w:bottom w:val="single" w:sz="6" w:space="0" w:color="005A9B" w:themeColor="background2"/>
                  </w:tcBorders>
                </w:tcPr>
                <w:p w:rsidR="00A75E5F" w:rsidRPr="003A3769" w:rsidRDefault="00A75E5F" w:rsidP="00162060">
                  <w:pPr>
                    <w:pStyle w:val="Tablenormal0"/>
                  </w:pP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Dangerous structures</w:t>
                  </w:r>
                </w:p>
              </w:tc>
            </w:tr>
            <w:tr w:rsidR="00A75E5F" w:rsidRPr="003A3769" w:rsidTr="00162060">
              <w:trPr>
                <w:cantSplit/>
              </w:trPr>
              <w:tc>
                <w:tcPr>
                  <w:tcW w:w="1936" w:type="pct"/>
                  <w:vMerge w:val="restart"/>
                  <w:tcBorders>
                    <w:top w:val="single" w:sz="6" w:space="0" w:color="005A9B" w:themeColor="background2"/>
                    <w:bottom w:val="single" w:sz="6" w:space="0" w:color="005A9B" w:themeColor="background2"/>
                  </w:tcBorders>
                  <w:vAlign w:val="center"/>
                </w:tcPr>
                <w:p w:rsidR="00A75E5F" w:rsidRPr="003A3769" w:rsidRDefault="00A75E5F" w:rsidP="00162060">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Clean drinking water</w:t>
                  </w:r>
                </w:p>
              </w:tc>
            </w:tr>
            <w:tr w:rsidR="00A75E5F" w:rsidRPr="003A3769" w:rsidTr="00162060">
              <w:trPr>
                <w:cantSplit/>
              </w:trPr>
              <w:tc>
                <w:tcPr>
                  <w:tcW w:w="1936" w:type="pct"/>
                  <w:vMerge/>
                  <w:tcBorders>
                    <w:top w:val="single" w:sz="6" w:space="0" w:color="005A9B" w:themeColor="background2"/>
                    <w:bottom w:val="single" w:sz="6" w:space="0" w:color="005A9B" w:themeColor="background2"/>
                  </w:tcBorders>
                </w:tcPr>
                <w:p w:rsidR="00A75E5F" w:rsidRPr="003A3769" w:rsidRDefault="00A75E5F" w:rsidP="00162060">
                  <w:pPr>
                    <w:pStyle w:val="Tablenormal0"/>
                  </w:pP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Food, baby food and pet food</w:t>
                  </w:r>
                </w:p>
              </w:tc>
            </w:tr>
            <w:tr w:rsidR="00A75E5F" w:rsidRPr="003A3769" w:rsidTr="00162060">
              <w:trPr>
                <w:cantSplit/>
              </w:trPr>
              <w:tc>
                <w:tcPr>
                  <w:tcW w:w="1936" w:type="pct"/>
                  <w:vMerge/>
                  <w:tcBorders>
                    <w:top w:val="single" w:sz="6" w:space="0" w:color="005A9B" w:themeColor="background2"/>
                    <w:bottom w:val="single" w:sz="6" w:space="0" w:color="005A9B" w:themeColor="background2"/>
                  </w:tcBorders>
                </w:tcPr>
                <w:p w:rsidR="00A75E5F" w:rsidRPr="003A3769" w:rsidRDefault="00A75E5F" w:rsidP="00162060">
                  <w:pPr>
                    <w:pStyle w:val="Tablenormal0"/>
                  </w:pP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Cooking facilities, utensils and fuel</w:t>
                  </w:r>
                </w:p>
              </w:tc>
            </w:tr>
            <w:tr w:rsidR="00A75E5F" w:rsidRPr="003A3769" w:rsidTr="00162060">
              <w:trPr>
                <w:cantSplit/>
              </w:trPr>
              <w:tc>
                <w:tcPr>
                  <w:tcW w:w="1936" w:type="pct"/>
                  <w:vMerge w:val="restart"/>
                  <w:tcBorders>
                    <w:top w:val="single" w:sz="6" w:space="0" w:color="005A9B" w:themeColor="background2"/>
                    <w:bottom w:val="single" w:sz="6" w:space="0" w:color="005A9B" w:themeColor="background2"/>
                  </w:tcBorders>
                  <w:vAlign w:val="center"/>
                </w:tcPr>
                <w:p w:rsidR="00A75E5F" w:rsidRPr="003A3769" w:rsidRDefault="00A75E5F" w:rsidP="00162060">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Clean water for washing</w:t>
                  </w:r>
                </w:p>
              </w:tc>
            </w:tr>
            <w:tr w:rsidR="00A75E5F" w:rsidRPr="003A3769" w:rsidTr="00162060">
              <w:trPr>
                <w:cantSplit/>
              </w:trPr>
              <w:tc>
                <w:tcPr>
                  <w:tcW w:w="1936" w:type="pct"/>
                  <w:vMerge/>
                  <w:tcBorders>
                    <w:top w:val="single" w:sz="6" w:space="0" w:color="005A9B" w:themeColor="background2"/>
                    <w:bottom w:val="single" w:sz="6" w:space="0" w:color="005A9B" w:themeColor="background2"/>
                  </w:tcBorders>
                </w:tcPr>
                <w:p w:rsidR="00A75E5F" w:rsidRPr="003A3769" w:rsidRDefault="00A75E5F" w:rsidP="00162060">
                  <w:pPr>
                    <w:pStyle w:val="Tablenormal0"/>
                  </w:pPr>
                </w:p>
              </w:tc>
              <w:tc>
                <w:tcPr>
                  <w:tcW w:w="3064" w:type="pct"/>
                  <w:tcBorders>
                    <w:top w:val="single" w:sz="6" w:space="0" w:color="005A9B" w:themeColor="background2"/>
                    <w:bottom w:val="single" w:sz="6" w:space="0" w:color="005A9B" w:themeColor="background2"/>
                  </w:tcBorders>
                </w:tcPr>
                <w:p w:rsidR="00A75E5F" w:rsidRPr="003A3769" w:rsidRDefault="00A75E5F" w:rsidP="00162060">
                  <w:pPr>
                    <w:pStyle w:val="Tablenormal0"/>
                  </w:pPr>
                  <w:r w:rsidRPr="003A3769">
                    <w:t>Waste water, solid waste</w:t>
                  </w:r>
                </w:p>
              </w:tc>
            </w:tr>
            <w:tr w:rsidR="00A75E5F" w:rsidRPr="003A3769" w:rsidTr="00162060">
              <w:trPr>
                <w:cantSplit/>
              </w:trPr>
              <w:tc>
                <w:tcPr>
                  <w:tcW w:w="1936" w:type="pct"/>
                  <w:vMerge/>
                  <w:tcBorders>
                    <w:top w:val="single" w:sz="6" w:space="0" w:color="005A9B" w:themeColor="background2"/>
                    <w:bottom w:val="single" w:sz="12" w:space="0" w:color="005A9B" w:themeColor="background2"/>
                  </w:tcBorders>
                </w:tcPr>
                <w:p w:rsidR="00A75E5F" w:rsidRPr="003A3769" w:rsidRDefault="00A75E5F" w:rsidP="00162060">
                  <w:pPr>
                    <w:pStyle w:val="Tablenormal0"/>
                  </w:pPr>
                </w:p>
              </w:tc>
              <w:tc>
                <w:tcPr>
                  <w:tcW w:w="3064" w:type="pct"/>
                  <w:tcBorders>
                    <w:top w:val="single" w:sz="6" w:space="0" w:color="005A9B" w:themeColor="background2"/>
                    <w:bottom w:val="single" w:sz="12" w:space="0" w:color="005A9B" w:themeColor="background2"/>
                  </w:tcBorders>
                </w:tcPr>
                <w:p w:rsidR="00A75E5F" w:rsidRPr="003A3769" w:rsidRDefault="00A75E5F" w:rsidP="00162060">
                  <w:pPr>
                    <w:pStyle w:val="Tablenormal0"/>
                  </w:pPr>
                  <w:r w:rsidRPr="003A3769">
                    <w:t>Hygiene, nappies, soap and disinfectant</w:t>
                  </w:r>
                </w:p>
              </w:tc>
            </w:tr>
          </w:tbl>
          <w:p w:rsidR="00A75E5F" w:rsidRPr="003A3769" w:rsidRDefault="00A75E5F" w:rsidP="00162060"/>
        </w:tc>
      </w:tr>
    </w:tbl>
    <w:p w:rsidR="00A75E5F" w:rsidRPr="003A3769" w:rsidRDefault="00A75E5F" w:rsidP="00A75E5F"/>
    <w:p w:rsidR="00A75E5F" w:rsidRPr="003A3769" w:rsidRDefault="00A75E5F" w:rsidP="00A75E5F">
      <w:pPr>
        <w:pStyle w:val="Heading3"/>
        <w:ind w:left="0"/>
      </w:pPr>
      <w:bookmarkStart w:id="34" w:name="_Ref419707546"/>
      <w:bookmarkStart w:id="35" w:name="_Ref419707556"/>
      <w:bookmarkStart w:id="36" w:name="_Ref419707773"/>
      <w:bookmarkStart w:id="37" w:name="_Ref419707777"/>
      <w:bookmarkStart w:id="38" w:name="_Ref419707784"/>
      <w:bookmarkStart w:id="39" w:name="_Toc433815253"/>
      <w:bookmarkStart w:id="40" w:name="_Toc434475247"/>
      <w:r w:rsidRPr="003A3769">
        <w:lastRenderedPageBreak/>
        <w:t>Privacy, information sharing, and vetting</w:t>
      </w:r>
      <w:bookmarkEnd w:id="34"/>
      <w:bookmarkEnd w:id="35"/>
      <w:bookmarkEnd w:id="36"/>
      <w:bookmarkEnd w:id="37"/>
      <w:bookmarkEnd w:id="38"/>
      <w:bookmarkEnd w:id="39"/>
      <w:bookmarkEnd w:id="4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A75E5F" w:rsidRPr="003A3769" w:rsidTr="00162060">
        <w:trPr>
          <w:cantSplit/>
        </w:trPr>
        <w:tc>
          <w:tcPr>
            <w:tcW w:w="1927" w:type="dxa"/>
            <w:tcMar>
              <w:right w:w="227" w:type="dxa"/>
            </w:tcMar>
          </w:tcPr>
          <w:p w:rsidR="00A75E5F" w:rsidRPr="003A3769" w:rsidRDefault="00A75E5F" w:rsidP="00162060">
            <w:pPr>
              <w:pStyle w:val="LHcolumn"/>
            </w:pPr>
            <w:r w:rsidRPr="003A3769">
              <w:rPr>
                <w:noProof/>
              </w:rPr>
              <w:drawing>
                <wp:anchor distT="0" distB="0" distL="114300" distR="114300" simplePos="0" relativeHeight="251661312"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A75E5F" w:rsidRDefault="00A75E5F" w:rsidP="00162060">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A75E5F" w:rsidRPr="00292F57" w:rsidRDefault="00A75E5F" w:rsidP="00162060">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A75E5F" w:rsidRDefault="00A75E5F" w:rsidP="00162060">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A75E5F" w:rsidRPr="00565E5E" w:rsidRDefault="00A75E5F" w:rsidP="00162060">
            <w:r>
              <w:t xml:space="preserve">See section 6 in Part 2 of the </w:t>
            </w:r>
            <w:r w:rsidRPr="00565E5E">
              <w:rPr>
                <w:i/>
              </w:rPr>
              <w:t>Privacy Act 1993</w:t>
            </w:r>
            <w:r>
              <w:t xml:space="preserve"> which features 12 </w:t>
            </w:r>
            <w:r w:rsidRPr="000667B3">
              <w:rPr>
                <w:i/>
              </w:rPr>
              <w:t>Information privacy principles</w:t>
            </w:r>
            <w:r>
              <w:t>.</w:t>
            </w:r>
          </w:p>
          <w:p w:rsidR="00A75E5F" w:rsidRPr="003A3769" w:rsidRDefault="00A75E5F" w:rsidP="00162060">
            <w:r w:rsidRPr="003A3769">
              <w:t xml:space="preserve">The </w:t>
            </w:r>
            <w:r w:rsidRPr="003A3769">
              <w:rPr>
                <w:i/>
                <w:iCs/>
              </w:rPr>
              <w:t>Privacy Act 1993</w:t>
            </w:r>
            <w:r w:rsidRPr="003A3769">
              <w:t xml:space="preserve"> is available at the New Zealand Legislation website: </w:t>
            </w:r>
            <w:hyperlink r:id="rId28"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29" w:history="1">
              <w:r w:rsidRPr="003A3769">
                <w:rPr>
                  <w:rStyle w:val="Hyperlink"/>
                </w:rPr>
                <w:t>www.privacy.org.nz</w:t>
              </w:r>
            </w:hyperlink>
            <w:r w:rsidRPr="003A3769">
              <w:t xml:space="preserve"> .</w:t>
            </w:r>
          </w:p>
          <w:p w:rsidR="00A75E5F" w:rsidRPr="003A3769" w:rsidRDefault="00A75E5F" w:rsidP="00162060">
            <w:pPr>
              <w:pStyle w:val="Spacer"/>
            </w:pPr>
          </w:p>
        </w:tc>
      </w:tr>
      <w:tr w:rsidR="00A75E5F" w:rsidRPr="003A3769" w:rsidTr="00162060">
        <w:trPr>
          <w:cantSplit/>
        </w:trPr>
        <w:tc>
          <w:tcPr>
            <w:tcW w:w="1927" w:type="dxa"/>
            <w:tcMar>
              <w:right w:w="227" w:type="dxa"/>
            </w:tcMar>
          </w:tcPr>
          <w:p w:rsidR="00A75E5F" w:rsidRPr="003A3769" w:rsidRDefault="00A75E5F" w:rsidP="00162060">
            <w:pPr>
              <w:pStyle w:val="LHcolumn"/>
            </w:pPr>
            <w:r w:rsidRPr="003A3769">
              <w:t>Civil Defence National Emergencies (Information Sharing) Code 2013</w:t>
            </w:r>
          </w:p>
          <w:p w:rsidR="00A75E5F" w:rsidRPr="003A3769" w:rsidRDefault="00A75E5F" w:rsidP="00162060">
            <w:pPr>
              <w:pStyle w:val="LHcolumn"/>
            </w:pPr>
            <w:r w:rsidRPr="003A3769">
              <w:rPr>
                <w:noProof/>
              </w:rPr>
              <w:drawing>
                <wp:anchor distT="0" distB="0" distL="114300" distR="114300" simplePos="0" relativeHeight="251660288"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A75E5F" w:rsidRDefault="00A75E5F" w:rsidP="00162060">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A75E5F" w:rsidRDefault="00A75E5F" w:rsidP="00162060">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A75E5F" w:rsidRPr="003A3769" w:rsidRDefault="00A75E5F" w:rsidP="00162060">
            <w:r>
              <w:t xml:space="preserve">The Information Sharing Code applies </w:t>
            </w:r>
            <w:r w:rsidRPr="003A3769">
              <w:t>as follows:</w:t>
            </w:r>
          </w:p>
          <w:p w:rsidR="00A75E5F" w:rsidRPr="003A3769" w:rsidRDefault="00A75E5F" w:rsidP="00162060">
            <w:pPr>
              <w:pStyle w:val="Bullet"/>
            </w:pPr>
            <w:r w:rsidRPr="003A3769">
              <w:t>To assist with the effective management of the response to a national emergency, this code applies in relation to any emergency in respect of which a state of national emergency is in force.</w:t>
            </w:r>
          </w:p>
          <w:p w:rsidR="00A75E5F" w:rsidRPr="003A3769" w:rsidRDefault="00A75E5F" w:rsidP="00162060">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A75E5F" w:rsidRDefault="00A75E5F" w:rsidP="00162060">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30" w:history="1">
              <w:r w:rsidRPr="003A3769">
                <w:rPr>
                  <w:rStyle w:val="Hyperlink"/>
                </w:rPr>
                <w:t>www.privacy.org.nz</w:t>
              </w:r>
            </w:hyperlink>
            <w:r w:rsidRPr="003A3769">
              <w:t>.</w:t>
            </w:r>
          </w:p>
          <w:p w:rsidR="00A75E5F" w:rsidRDefault="00A75E5F" w:rsidP="00162060">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A75E5F" w:rsidRPr="003A3769" w:rsidRDefault="00A75E5F" w:rsidP="00162060">
            <w:pPr>
              <w:pStyle w:val="Spacer"/>
            </w:pPr>
          </w:p>
        </w:tc>
      </w:tr>
      <w:tr w:rsidR="00A75E5F" w:rsidRPr="003A3769" w:rsidTr="00162060">
        <w:trPr>
          <w:cantSplit/>
        </w:trPr>
        <w:tc>
          <w:tcPr>
            <w:tcW w:w="1927" w:type="dxa"/>
            <w:tcMar>
              <w:right w:w="227" w:type="dxa"/>
            </w:tcMar>
          </w:tcPr>
          <w:p w:rsidR="00A75E5F" w:rsidRPr="003A3769" w:rsidRDefault="00A75E5F" w:rsidP="00162060">
            <w:pPr>
              <w:pStyle w:val="LHcolumn"/>
            </w:pPr>
            <w:r w:rsidRPr="003A3769">
              <w:lastRenderedPageBreak/>
              <w:t>Police Vetting Service</w:t>
            </w:r>
          </w:p>
          <w:p w:rsidR="00A75E5F" w:rsidRPr="003A3769" w:rsidRDefault="00A75E5F" w:rsidP="00162060">
            <w:pPr>
              <w:pStyle w:val="LHcolumn"/>
            </w:pPr>
            <w:r w:rsidRPr="003A3769">
              <w:rPr>
                <w:noProof/>
              </w:rPr>
              <w:drawing>
                <wp:anchor distT="0" distB="0" distL="114300" distR="114300" simplePos="0" relativeHeight="251662336"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A75E5F" w:rsidRPr="003A3769" w:rsidRDefault="00A75E5F" w:rsidP="00162060">
            <w:r w:rsidRPr="003A3769">
              <w:t>The New Zealand Police Vetting Service offers an online process for approved organisations to check the criminal records of potential or existing personnel, including volunteers.</w:t>
            </w:r>
          </w:p>
          <w:p w:rsidR="00A75E5F" w:rsidRPr="003A3769" w:rsidRDefault="00A75E5F" w:rsidP="00162060">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A75E5F" w:rsidRPr="003A3769" w:rsidRDefault="00A75E5F" w:rsidP="00162060">
            <w:r w:rsidRPr="003A3769">
              <w:t xml:space="preserve">Vetting can only be carried out with the signed consent of the person being vetted. Organisations are expected to ensure the person being vetted is aware of the vetting process. </w:t>
            </w:r>
          </w:p>
          <w:p w:rsidR="00A75E5F" w:rsidRPr="003A3769" w:rsidRDefault="00A75E5F" w:rsidP="00162060">
            <w:r w:rsidRPr="003A3769">
              <w:t>The standard turnaround time for completing a Police vetting process is 20 working days.</w:t>
            </w:r>
          </w:p>
          <w:p w:rsidR="00A75E5F" w:rsidRPr="003A3769" w:rsidRDefault="00A75E5F" w:rsidP="00162060">
            <w:r w:rsidRPr="003A3769">
              <w:t>Police recommend that vetting of existing personnel including volunteers, is carried out on a regular basis, i.e. every two to three years.</w:t>
            </w:r>
          </w:p>
          <w:p w:rsidR="00A75E5F" w:rsidRPr="003A3769" w:rsidRDefault="00A75E5F" w:rsidP="00162060">
            <w:r w:rsidRPr="003A3769">
              <w:t>An organisation must have information security procedures in place to protect the confidential information and any Police material they hold as a result of the vetting process.</w:t>
            </w:r>
          </w:p>
          <w:p w:rsidR="00A75E5F" w:rsidRPr="003A3769" w:rsidRDefault="00A75E5F" w:rsidP="00162060">
            <w:r w:rsidRPr="003A3769">
              <w:t xml:space="preserve">More information about Police vetting is available at </w:t>
            </w:r>
            <w:hyperlink r:id="rId31" w:history="1">
              <w:r w:rsidRPr="003A3769">
                <w:rPr>
                  <w:rStyle w:val="Hyperlink"/>
                </w:rPr>
                <w:t>www.police.govt.nz</w:t>
              </w:r>
            </w:hyperlink>
            <w:r w:rsidRPr="003A3769">
              <w:t>.</w:t>
            </w:r>
          </w:p>
          <w:p w:rsidR="00A75E5F" w:rsidRPr="0072052A" w:rsidRDefault="00A75E5F" w:rsidP="00162060"/>
        </w:tc>
      </w:tr>
      <w:tr w:rsidR="00A75E5F" w:rsidRPr="003A3769" w:rsidTr="00162060">
        <w:trPr>
          <w:cantSplit/>
        </w:trPr>
        <w:tc>
          <w:tcPr>
            <w:tcW w:w="1927" w:type="dxa"/>
            <w:tcMar>
              <w:right w:w="227" w:type="dxa"/>
            </w:tcMar>
          </w:tcPr>
          <w:p w:rsidR="00A75E5F" w:rsidRPr="003A3769" w:rsidRDefault="00A75E5F" w:rsidP="00162060">
            <w:pPr>
              <w:pStyle w:val="LHcolumn"/>
            </w:pPr>
            <w:r w:rsidRPr="003A3769">
              <w:t>Safety checking for the children’s workforce</w:t>
            </w:r>
          </w:p>
          <w:p w:rsidR="00A75E5F" w:rsidRPr="003A3769" w:rsidRDefault="00A75E5F" w:rsidP="00162060">
            <w:pPr>
              <w:pStyle w:val="LHcolumn"/>
            </w:pPr>
            <w:r w:rsidRPr="003A3769">
              <w:rPr>
                <w:noProof/>
              </w:rPr>
              <w:drawing>
                <wp:anchor distT="0" distB="0" distL="114300" distR="114300" simplePos="0" relativeHeight="251663360"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A75E5F" w:rsidRPr="003A3769" w:rsidRDefault="00A75E5F" w:rsidP="00162060">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A75E5F" w:rsidRPr="003A3769" w:rsidRDefault="00A75E5F" w:rsidP="00162060">
            <w:r w:rsidRPr="003A3769">
              <w:t xml:space="preserve">Any agency working with children and young people must meet the approval obligations outlined in the </w:t>
            </w:r>
            <w:r w:rsidRPr="00B44D06">
              <w:rPr>
                <w:i/>
              </w:rPr>
              <w:t>Vulnerable Children Act 2014</w:t>
            </w:r>
            <w:r w:rsidRPr="003A3769">
              <w:t>.</w:t>
            </w:r>
          </w:p>
          <w:p w:rsidR="00A75E5F" w:rsidRPr="003A3769" w:rsidRDefault="00A75E5F" w:rsidP="00162060">
            <w:r w:rsidRPr="003A3769">
              <w:t xml:space="preserve">The </w:t>
            </w:r>
            <w:r w:rsidRPr="003A3769">
              <w:rPr>
                <w:i/>
                <w:iCs/>
              </w:rPr>
              <w:t>Vulnerable Children Act 2014</w:t>
            </w:r>
            <w:r w:rsidRPr="003A3769">
              <w:t xml:space="preserve"> is available at the New Zealand Legislation website: </w:t>
            </w:r>
            <w:hyperlink r:id="rId32"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3" w:history="1">
              <w:r w:rsidRPr="003A3769">
                <w:rPr>
                  <w:rStyle w:val="Hyperlink"/>
                </w:rPr>
                <w:t>www.childrensactionplan.govt.nz</w:t>
              </w:r>
            </w:hyperlink>
            <w:r w:rsidRPr="003A3769">
              <w:t xml:space="preserve">. </w:t>
            </w:r>
          </w:p>
          <w:p w:rsidR="00A75E5F" w:rsidRPr="0072052A" w:rsidRDefault="00A75E5F" w:rsidP="00162060"/>
        </w:tc>
      </w:tr>
      <w:tr w:rsidR="00A75E5F" w:rsidRPr="003A3769" w:rsidTr="00162060">
        <w:trPr>
          <w:cantSplit/>
        </w:trPr>
        <w:tc>
          <w:tcPr>
            <w:tcW w:w="1927" w:type="dxa"/>
            <w:tcMar>
              <w:right w:w="227" w:type="dxa"/>
            </w:tcMar>
          </w:tcPr>
          <w:p w:rsidR="00A75E5F" w:rsidRPr="003A3769" w:rsidRDefault="00A75E5F" w:rsidP="00162060">
            <w:pPr>
              <w:pStyle w:val="LHcolumn"/>
            </w:pPr>
            <w:r w:rsidRPr="003A3769">
              <w:t>Screening CDEM-trained volunteers</w:t>
            </w:r>
          </w:p>
          <w:p w:rsidR="00A75E5F" w:rsidRPr="003A3769" w:rsidRDefault="00A75E5F" w:rsidP="00162060">
            <w:pPr>
              <w:pStyle w:val="LHcolumn"/>
            </w:pPr>
            <w:r w:rsidRPr="003A3769">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A75E5F" w:rsidRPr="003A3769" w:rsidRDefault="00A75E5F" w:rsidP="00162060">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4" w:history="1">
              <w:r w:rsidRPr="003A3769">
                <w:rPr>
                  <w:rStyle w:val="Hyperlink"/>
                </w:rPr>
                <w:t>www.civildefence.govt.nz</w:t>
              </w:r>
            </w:hyperlink>
            <w:r>
              <w:t xml:space="preserve"> (search for ‘volunteer coordination DGL’).</w:t>
            </w:r>
          </w:p>
          <w:p w:rsidR="00A75E5F" w:rsidRPr="003A3769" w:rsidRDefault="00A75E5F" w:rsidP="00162060">
            <w:pPr>
              <w:pStyle w:val="Paragraphspacer"/>
            </w:pPr>
          </w:p>
        </w:tc>
      </w:tr>
    </w:tbl>
    <w:p w:rsidR="00A75E5F" w:rsidRDefault="00A75E5F" w:rsidP="00A75E5F"/>
    <w:p w:rsidR="00A75E5F" w:rsidRDefault="00A75E5F" w:rsidP="00A75E5F"/>
    <w:bookmarkEnd w:id="6"/>
    <w:bookmarkEnd w:id="7"/>
    <w:bookmarkEnd w:id="8"/>
    <w:bookmarkEnd w:id="9"/>
    <w:p w:rsidR="00A75E5F" w:rsidRPr="00A75E5F" w:rsidRDefault="00A75E5F" w:rsidP="00A75E5F"/>
    <w:sectPr w:rsidR="00A75E5F" w:rsidRPr="00A75E5F" w:rsidSect="00DF745D">
      <w:headerReference w:type="default" r:id="rId35"/>
      <w:footerReference w:type="default" r:id="rId36"/>
      <w:pgSz w:w="11907" w:h="16840" w:code="9"/>
      <w:pgMar w:top="1191" w:right="1021" w:bottom="794" w:left="1361" w:header="567" w:footer="31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5F" w:rsidRDefault="00A75E5F" w:rsidP="003C4DF1">
      <w:r>
        <w:separator/>
      </w:r>
    </w:p>
    <w:p w:rsidR="00A75E5F" w:rsidRDefault="00A75E5F"/>
  </w:endnote>
  <w:endnote w:type="continuationSeparator" w:id="0">
    <w:p w:rsidR="00A75E5F" w:rsidRDefault="00A75E5F" w:rsidP="003C4DF1">
      <w:r>
        <w:continuationSeparator/>
      </w:r>
    </w:p>
    <w:p w:rsidR="00A75E5F" w:rsidRDefault="00A75E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Pr="00E7508E" w:rsidRDefault="001B1363"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3F" w:rsidRDefault="00836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Default="001B1363">
    <w:pPr>
      <w:spacing w:before="1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Pr="00C9618C" w:rsidRDefault="009A0A02" w:rsidP="003F4DAE">
    <w:pPr>
      <w:tabs>
        <w:tab w:val="left" w:pos="284"/>
        <w:tab w:val="right" w:pos="9498"/>
        <w:tab w:val="right" w:pos="14742"/>
        <w:tab w:val="right" w:pos="15168"/>
      </w:tabs>
      <w:rPr>
        <w:rStyle w:val="MCDEMfooterevencode"/>
      </w:rPr>
    </w:pPr>
    <w:r>
      <w:rPr>
        <w:rStyle w:val="MCDEMfooterpagenumber"/>
      </w:rPr>
      <w:fldChar w:fldCharType="begin"/>
    </w:r>
    <w:r w:rsidR="005B276C">
      <w:rPr>
        <w:rStyle w:val="MCDEMfooterpagenumber"/>
      </w:rPr>
      <w:instrText xml:space="preserve"> PAGE   \* MERGEFORMAT </w:instrText>
    </w:r>
    <w:r>
      <w:rPr>
        <w:rStyle w:val="MCDEMfooterpagenumber"/>
      </w:rPr>
      <w:fldChar w:fldCharType="separate"/>
    </w:r>
    <w:r w:rsidR="00423B90">
      <w:rPr>
        <w:rStyle w:val="MCDEMfooterpagenumber"/>
        <w:noProof/>
      </w:rPr>
      <w:t>ii</w:t>
    </w:r>
    <w:r>
      <w:rPr>
        <w:rStyle w:val="MCDEMfooterpagenumber"/>
      </w:rPr>
      <w:fldChar w:fldCharType="end"/>
    </w:r>
    <w:r w:rsidR="0083693F">
      <w:rPr>
        <w:rStyle w:val="MCDEMfooteroddcode"/>
      </w:rPr>
      <w:tab/>
    </w:r>
    <w:r w:rsidR="00D82608">
      <w:rPr>
        <w:rStyle w:val="MCDEMfooteroddChar"/>
      </w:rPr>
      <w:t xml:space="preserve">Part II Section 5 </w:t>
    </w:r>
    <w:r w:rsidR="000C1E0B" w:rsidRPr="000C1E0B">
      <w:rPr>
        <w:rStyle w:val="MCDEMfooteroddChar"/>
      </w:rPr>
      <w:t>Welfare services sub-functions</w:t>
    </w:r>
    <w:r w:rsidR="005B276C">
      <w:rPr>
        <w:rStyle w:val="MCDEMfooteroddcode"/>
      </w:rPr>
      <w:tab/>
    </w:r>
    <w:r w:rsidR="00C9618C" w:rsidRPr="00C9618C">
      <w:rPr>
        <w:rStyle w:val="MCDEMfooterevencode"/>
      </w:rPr>
      <w:t>Welfare Services in an Emergency [DGL 11/15]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6C" w:rsidRPr="00C9618C" w:rsidRDefault="00C9618C"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00D82608">
      <w:rPr>
        <w:rStyle w:val="MCDEMfooteroddChar"/>
      </w:rPr>
      <w:t xml:space="preserve">Part II Section 6 </w:t>
    </w:r>
    <w:r w:rsidR="000C1E0B" w:rsidRPr="000C1E0B">
      <w:rPr>
        <w:rStyle w:val="MCDEMfooteroddChar"/>
      </w:rPr>
      <w:t>Welfare services sub-functions</w:t>
    </w:r>
    <w:r>
      <w:rPr>
        <w:rStyle w:val="MCDEMfooteroddcode"/>
      </w:rPr>
      <w:tab/>
    </w:r>
    <w:r w:rsidR="009A0A02" w:rsidRPr="001D3D08">
      <w:rPr>
        <w:rStyle w:val="MCDEMfooterpagenumber"/>
      </w:rPr>
      <w:fldChar w:fldCharType="begin"/>
    </w:r>
    <w:r w:rsidRPr="001D3D08">
      <w:rPr>
        <w:rStyle w:val="MCDEMfooterpagenumber"/>
      </w:rPr>
      <w:instrText xml:space="preserve"> PAGE   \* MERGEFORMAT </w:instrText>
    </w:r>
    <w:r w:rsidR="009A0A02" w:rsidRPr="001D3D08">
      <w:rPr>
        <w:rStyle w:val="MCDEMfooterpagenumber"/>
      </w:rPr>
      <w:fldChar w:fldCharType="separate"/>
    </w:r>
    <w:r w:rsidR="00423B90">
      <w:rPr>
        <w:rStyle w:val="MCDEMfooterpagenumber"/>
        <w:noProof/>
      </w:rPr>
      <w:t>i</w:t>
    </w:r>
    <w:r w:rsidR="009A0A02" w:rsidRPr="001D3D08">
      <w:rPr>
        <w:rStyle w:val="MCDEMfooter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E7" w:rsidRPr="00C9618C" w:rsidRDefault="00F55AE7"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00D82608">
      <w:rPr>
        <w:rStyle w:val="MCDEMfooteroddChar"/>
      </w:rPr>
      <w:t xml:space="preserve">Part II Section 5 </w:t>
    </w:r>
    <w:r w:rsidRPr="000C1E0B">
      <w:rPr>
        <w:rStyle w:val="MCDEMfooteroddChar"/>
      </w:rPr>
      <w:t>Welfare services sub-functions</w:t>
    </w:r>
    <w:r>
      <w:rPr>
        <w:rStyle w:val="MCDEMfooteroddcode"/>
      </w:rPr>
      <w:tab/>
    </w:r>
    <w:r w:rsidR="009A0A02" w:rsidRPr="001D3D08">
      <w:rPr>
        <w:rStyle w:val="MCDEMfooterpagenumber"/>
      </w:rPr>
      <w:fldChar w:fldCharType="begin"/>
    </w:r>
    <w:r w:rsidRPr="001D3D08">
      <w:rPr>
        <w:rStyle w:val="MCDEMfooterpagenumber"/>
      </w:rPr>
      <w:instrText xml:space="preserve"> PAGE   \* MERGEFORMAT </w:instrText>
    </w:r>
    <w:r w:rsidR="009A0A02" w:rsidRPr="001D3D08">
      <w:rPr>
        <w:rStyle w:val="MCDEMfooterpagenumber"/>
      </w:rPr>
      <w:fldChar w:fldCharType="separate"/>
    </w:r>
    <w:r w:rsidR="00423B90">
      <w:rPr>
        <w:rStyle w:val="MCDEMfooterpagenumber"/>
        <w:noProof/>
      </w:rPr>
      <w:t>7</w:t>
    </w:r>
    <w:r w:rsidR="009A0A02" w:rsidRPr="001D3D08">
      <w:rPr>
        <w:rStyle w:val="MCDEMfooter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5F" w:rsidRPr="00A5314E" w:rsidRDefault="009A0A02" w:rsidP="00734642">
      <w:pPr>
        <w:tabs>
          <w:tab w:val="left" w:pos="567"/>
          <w:tab w:val="right" w:pos="15025"/>
        </w:tabs>
        <w:rPr>
          <w:color w:val="000000" w:themeColor="text1"/>
          <w:sz w:val="16"/>
          <w:szCs w:val="18"/>
        </w:rPr>
      </w:pPr>
      <w:r w:rsidRPr="0038097B">
        <w:rPr>
          <w:rStyle w:val="MCDEMfooterpagenumber"/>
        </w:rPr>
        <w:fldChar w:fldCharType="begin"/>
      </w:r>
      <w:r w:rsidR="00A75E5F" w:rsidRPr="0038097B">
        <w:rPr>
          <w:rStyle w:val="MCDEMfooterpagenumber"/>
        </w:rPr>
        <w:instrText xml:space="preserve"> PAGE </w:instrText>
      </w:r>
      <w:r w:rsidRPr="0038097B">
        <w:rPr>
          <w:rStyle w:val="MCDEMfooterpagenumber"/>
        </w:rPr>
        <w:fldChar w:fldCharType="separate"/>
      </w:r>
      <w:r w:rsidR="00A75E5F">
        <w:rPr>
          <w:rStyle w:val="MCDEMfooterpagenumber"/>
          <w:noProof/>
        </w:rPr>
        <w:t>76</w:t>
      </w:r>
      <w:r w:rsidRPr="0038097B">
        <w:rPr>
          <w:rStyle w:val="MCDEMfooterpagenumber"/>
        </w:rPr>
        <w:fldChar w:fldCharType="end"/>
      </w:r>
      <w:r w:rsidR="00A75E5F" w:rsidRPr="00A5314E">
        <w:t xml:space="preserve"> </w:t>
      </w:r>
      <w:r w:rsidR="00A75E5F" w:rsidRPr="009F6AEB">
        <w:tab/>
      </w:r>
      <w:r w:rsidR="00A75E5F" w:rsidRPr="00531E1F">
        <w:rPr>
          <w:rStyle w:val="MCDEMfooterevenChar"/>
          <w:highlight w:val="green"/>
        </w:rPr>
        <w:t>xxx</w:t>
      </w:r>
      <w:r w:rsidR="00A75E5F" w:rsidRPr="0038097B">
        <w:rPr>
          <w:rStyle w:val="MCDEMfooterevenChar"/>
        </w:rPr>
        <w:t xml:space="preserve"> Director’s Guideline</w:t>
      </w:r>
      <w:r w:rsidR="00A75E5F" w:rsidRPr="009F6AEB">
        <w:t xml:space="preserve"> </w:t>
      </w:r>
      <w:r w:rsidR="00A75E5F" w:rsidRPr="0038097B">
        <w:rPr>
          <w:rStyle w:val="MCDEMfooterevencode"/>
        </w:rPr>
        <w:t xml:space="preserve">[DGL </w:t>
      </w:r>
      <w:r w:rsidR="00A75E5F" w:rsidRPr="00531E1F">
        <w:rPr>
          <w:rStyle w:val="MCDEMfooterevencode"/>
          <w:highlight w:val="green"/>
        </w:rPr>
        <w:t>xx/xx</w:t>
      </w:r>
      <w:r w:rsidR="00A75E5F" w:rsidRPr="0038097B">
        <w:rPr>
          <w:rStyle w:val="MCDEMfooterevencode"/>
        </w:rPr>
        <w:t>]</w:t>
      </w:r>
      <w:r w:rsidR="00A75E5F">
        <w:rPr>
          <w:rStyle w:val="MCDEMfooterevencode"/>
        </w:rPr>
        <w:tab/>
      </w:r>
      <w:fldSimple w:instr=" FILENAME   \* MERGEFORMAT ">
        <w:r w:rsidR="00617505" w:rsidRPr="00617505">
          <w:rPr>
            <w:rStyle w:val="MCDEMfooterevencode"/>
            <w:noProof/>
          </w:rPr>
          <w:t>DGL</w:t>
        </w:r>
        <w:r w:rsidR="00617505">
          <w:rPr>
            <w:noProof/>
          </w:rPr>
          <w:t xml:space="preserve"> 11-15 - PART II Section 5 Welfare services sub-functions - non-secure</w:t>
        </w:r>
      </w:fldSimple>
    </w:p>
    <w:p w:rsidR="00A75E5F" w:rsidRDefault="00A75E5F">
      <w:pPr>
        <w:pStyle w:val="Footer"/>
      </w:pPr>
    </w:p>
    <w:p w:rsidR="00A75E5F" w:rsidRDefault="00A75E5F"/>
    <w:p w:rsidR="00A75E5F" w:rsidRPr="009F6AEB" w:rsidRDefault="009A0A02" w:rsidP="00613F58">
      <w:pPr>
        <w:tabs>
          <w:tab w:val="right" w:pos="14884"/>
          <w:tab w:val="right" w:pos="15168"/>
        </w:tabs>
      </w:pPr>
      <w:fldSimple w:instr=" FILENAME   \* MERGEFORMAT ">
        <w:r w:rsidR="00617505" w:rsidRPr="00617505">
          <w:rPr>
            <w:rStyle w:val="MCDEMfooteroddChar"/>
            <w:noProof/>
          </w:rPr>
          <w:t>DGL</w:t>
        </w:r>
        <w:r w:rsidR="00617505">
          <w:rPr>
            <w:noProof/>
          </w:rPr>
          <w:t xml:space="preserve"> 11-15 - PART II Section 5 Welfare services sub-functions - non-secure</w:t>
        </w:r>
      </w:fldSimple>
      <w:r w:rsidR="00A75E5F" w:rsidRPr="009F6AEB">
        <w:tab/>
      </w:r>
      <w:r w:rsidR="00A75E5F" w:rsidRPr="00E50A41">
        <w:rPr>
          <w:rStyle w:val="MCDEMfooteroddChar"/>
          <w:highlight w:val="green"/>
        </w:rPr>
        <w:t>xxx</w:t>
      </w:r>
      <w:r w:rsidR="00A75E5F" w:rsidRPr="009F6AEB">
        <w:rPr>
          <w:rStyle w:val="MCDEMfooteroddChar"/>
        </w:rPr>
        <w:t xml:space="preserve"> Director’s Guideline</w:t>
      </w:r>
      <w:r w:rsidR="00A75E5F" w:rsidRPr="009F6AEB">
        <w:t xml:space="preserve"> </w:t>
      </w:r>
      <w:r w:rsidR="00A75E5F" w:rsidRPr="009F6AEB">
        <w:rPr>
          <w:rStyle w:val="MCDEMfooteroddcode"/>
        </w:rPr>
        <w:t xml:space="preserve">[DGL </w:t>
      </w:r>
      <w:r w:rsidR="00A75E5F" w:rsidRPr="00E50A41">
        <w:rPr>
          <w:rStyle w:val="MCDEMfooteroddcode"/>
          <w:highlight w:val="green"/>
        </w:rPr>
        <w:t>xx/xx</w:t>
      </w:r>
      <w:r w:rsidR="00A75E5F" w:rsidRPr="009F6AEB">
        <w:rPr>
          <w:rStyle w:val="MCDEMfooteroddcode"/>
        </w:rPr>
        <w:t>]</w:t>
      </w:r>
      <w:r w:rsidR="00A75E5F" w:rsidRPr="009F6AEB">
        <w:tab/>
      </w:r>
      <w:r w:rsidRPr="001D3D08">
        <w:rPr>
          <w:rStyle w:val="MCDEMfooterpagenumber"/>
        </w:rPr>
        <w:fldChar w:fldCharType="begin"/>
      </w:r>
      <w:r w:rsidR="00A75E5F" w:rsidRPr="001D3D08">
        <w:rPr>
          <w:rStyle w:val="MCDEMfooterpagenumber"/>
        </w:rPr>
        <w:instrText xml:space="preserve"> PAGE   \* MERGEFORMAT </w:instrText>
      </w:r>
      <w:r w:rsidRPr="001D3D08">
        <w:rPr>
          <w:rStyle w:val="MCDEMfooterpagenumber"/>
        </w:rPr>
        <w:fldChar w:fldCharType="separate"/>
      </w:r>
      <w:r w:rsidR="00A75E5F">
        <w:rPr>
          <w:rStyle w:val="MCDEMfooterpagenumber"/>
          <w:noProof/>
        </w:rPr>
        <w:t>76</w:t>
      </w:r>
      <w:r w:rsidRPr="001D3D08">
        <w:rPr>
          <w:rStyle w:val="MCDEMfooterpagenumber"/>
        </w:rPr>
        <w:fldChar w:fldCharType="end"/>
      </w:r>
    </w:p>
    <w:p w:rsidR="00A75E5F" w:rsidRDefault="00A75E5F">
      <w:pPr>
        <w:pStyle w:val="Footer"/>
      </w:pPr>
    </w:p>
    <w:p w:rsidR="00A75E5F" w:rsidRDefault="00A75E5F"/>
    <w:p w:rsidR="00A75E5F" w:rsidRDefault="00A75E5F" w:rsidP="003C4DF1">
      <w:r>
        <w:separator/>
      </w:r>
    </w:p>
    <w:p w:rsidR="00A75E5F" w:rsidRDefault="00A75E5F"/>
  </w:footnote>
  <w:footnote w:type="continuationSeparator" w:id="0">
    <w:p w:rsidR="00A75E5F" w:rsidRDefault="00A75E5F" w:rsidP="003C4DF1">
      <w:r>
        <w:continuationSeparator/>
      </w:r>
    </w:p>
    <w:p w:rsidR="00A75E5F" w:rsidRDefault="00A75E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3F" w:rsidRDefault="00836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3F" w:rsidRDefault="00836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3F" w:rsidRDefault="008369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Pr="005B276C" w:rsidRDefault="001B1363" w:rsidP="00C06910">
    <w:pPr>
      <w:pStyle w:val="Header"/>
      <w:rPr>
        <w:i/>
        <w:color w:val="005A9B" w:themeColor="background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6C" w:rsidRPr="005B276C" w:rsidRDefault="005B276C" w:rsidP="005B276C">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E7" w:rsidRPr="005B276C" w:rsidRDefault="00F55AE7" w:rsidP="005B27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87506F6C"/>
    <w:lvl w:ilvl="0">
      <w:start w:val="5"/>
      <w:numFmt w:val="decimal"/>
      <w:pStyle w:val="Heading1"/>
      <w:suff w:val="space"/>
      <w:lvlText w:val="Section %1"/>
      <w:lvlJc w:val="left"/>
      <w:pPr>
        <w:ind w:left="284"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284"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284"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284" w:firstLine="0"/>
      </w:pPr>
      <w:rPr>
        <w:rFonts w:hint="default"/>
      </w:rPr>
    </w:lvl>
    <w:lvl w:ilvl="5">
      <w:start w:val="1"/>
      <w:numFmt w:val="upperLetter"/>
      <w:lvlRestart w:val="0"/>
      <w:pStyle w:val="Heading6"/>
      <w:suff w:val="space"/>
      <w:lvlText w:val="Appendix %6"/>
      <w:lvlJc w:val="left"/>
      <w:pPr>
        <w:ind w:left="284"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e8QDVQVGrVyELg0gzsRHbIuUS9U=" w:salt="j3FC6MHhLn+dgFQ45tItXQ=="/>
  <w:zoom w:percent="74"/>
  <w:mirrorMargins/>
  <w:proofState w:spelling="clean" w:grammar="clean"/>
  <w:stylePaneFormatFilter w:val="5704"/>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1CB6"/>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3B90"/>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EC1"/>
    <w:rsid w:val="00616AF9"/>
    <w:rsid w:val="00617505"/>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960"/>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D6E7F"/>
    <w:rsid w:val="007E00CE"/>
    <w:rsid w:val="007E063F"/>
    <w:rsid w:val="007E0E28"/>
    <w:rsid w:val="007E12C5"/>
    <w:rsid w:val="007E20BF"/>
    <w:rsid w:val="007E2D3D"/>
    <w:rsid w:val="007E2EB1"/>
    <w:rsid w:val="007E3BAB"/>
    <w:rsid w:val="007E3C24"/>
    <w:rsid w:val="007E4102"/>
    <w:rsid w:val="007E45B7"/>
    <w:rsid w:val="007E505B"/>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93F"/>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A02"/>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AD7"/>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60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45D"/>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08C2"/>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A75E5F"/>
    <w:pPr>
      <w:keepNext/>
      <w:keepLines/>
      <w:pageBreakBefore/>
      <w:numPr>
        <w:numId w:val="5"/>
      </w:numPr>
      <w:pBdr>
        <w:bottom w:val="single" w:sz="12" w:space="1" w:color="AFAFAF" w:themeColor="accent1"/>
      </w:pBdr>
      <w:spacing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A75E5F"/>
    <w:pPr>
      <w:numPr>
        <w:ilvl w:val="1"/>
        <w:numId w:val="5"/>
      </w:numPr>
      <w:pBdr>
        <w:bottom w:val="single" w:sz="8" w:space="1" w:color="AFAFAF" w:themeColor="accent1"/>
      </w:pBdr>
      <w:spacing w:line="240" w:lineRule="auto"/>
      <w:ind w:left="0"/>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F925B0"/>
    <w:pPr>
      <w:pageBreakBefore/>
      <w:numPr>
        <w:ilvl w:val="5"/>
        <w:numId w:val="5"/>
      </w:numPr>
      <w:pBdr>
        <w:bottom w:val="single" w:sz="8" w:space="1" w:color="AFAFAF" w:themeColor="accent1"/>
      </w:pBdr>
      <w:spacing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F56498"/>
    <w:pPr>
      <w:numPr>
        <w:ilvl w:val="6"/>
        <w:numId w:val="5"/>
      </w:numPr>
      <w:pBdr>
        <w:bottom w:val="single" w:sz="6" w:space="1" w:color="AFAFAF" w:themeColor="accent1"/>
      </w:pBdr>
      <w:spacing w:before="200" w:after="40" w:line="240" w:lineRule="auto"/>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E5F"/>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A75E5F"/>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F925B0"/>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F56498"/>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AB6AF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A75E5F"/>
    <w:pPr>
      <w:keepNext/>
      <w:keepLines/>
      <w:pageBreakBefore/>
      <w:numPr>
        <w:numId w:val="5"/>
      </w:numPr>
      <w:pBdr>
        <w:bottom w:val="single" w:sz="12" w:space="1" w:color="AFAFAF" w:themeColor="accent1"/>
      </w:pBdr>
      <w:spacing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A75E5F"/>
    <w:pPr>
      <w:numPr>
        <w:ilvl w:val="1"/>
        <w:numId w:val="5"/>
      </w:numPr>
      <w:pBdr>
        <w:bottom w:val="single" w:sz="8" w:space="1" w:color="AFAFAF" w:themeColor="accent1"/>
      </w:pBdr>
      <w:spacing w:line="240" w:lineRule="auto"/>
      <w:ind w:left="0"/>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F925B0"/>
    <w:pPr>
      <w:pageBreakBefore/>
      <w:numPr>
        <w:ilvl w:val="5"/>
        <w:numId w:val="5"/>
      </w:numPr>
      <w:pBdr>
        <w:bottom w:val="single" w:sz="8" w:space="1" w:color="AFAFAF" w:themeColor="accent1"/>
      </w:pBdr>
      <w:spacing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F56498"/>
    <w:pPr>
      <w:numPr>
        <w:ilvl w:val="6"/>
        <w:numId w:val="5"/>
      </w:numPr>
      <w:pBdr>
        <w:bottom w:val="single" w:sz="6" w:space="1" w:color="AFAFAF" w:themeColor="accent1"/>
      </w:pBdr>
      <w:spacing w:before="200" w:after="40" w:line="240" w:lineRule="auto"/>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E5F"/>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A75E5F"/>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F925B0"/>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F56498"/>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AB6AF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ivildefence.govt.nz"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civildefence.govt.nz" TargetMode="Externa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header" Target="header3.xml"/><Relationship Id="rId25" Type="http://schemas.openxmlformats.org/officeDocument/2006/relationships/hyperlink" Target="http://www.hrc.co.nz" TargetMode="External"/><Relationship Id="rId33" Type="http://schemas.openxmlformats.org/officeDocument/2006/relationships/hyperlink" Target="http://www.childrensactionplan.govt.n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privacy.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image" Target="media/image4.png"/><Relationship Id="rId32" Type="http://schemas.openxmlformats.org/officeDocument/2006/relationships/hyperlink" Target="http://www.legislation.govt.n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jpeg"/><Relationship Id="rId28" Type="http://schemas.openxmlformats.org/officeDocument/2006/relationships/hyperlink" Target="http://www.legislation.govt.nz" TargetMode="External"/><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yperlink" Target="http://www.police.govt.nz" TargetMode="Externa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spherehandbook.org" TargetMode="External"/><Relationship Id="rId30" Type="http://schemas.openxmlformats.org/officeDocument/2006/relationships/hyperlink" Target="http://www.privacy.org.nz"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597C-B78F-4A2D-8CFD-48D9453E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2166</Words>
  <Characters>12350</Characters>
  <Application>Microsoft Office Word</Application>
  <DocSecurity>6</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5 Welfare services sub-functions - November 2015 - Ministry of Civil Defence &amp; Emergency Management</dc:title>
  <dc:creator>Ministry of Civil Defence &amp; Emergency Management</dc:creator>
  <cp:lastModifiedBy>Jaynia Steel [CASS]</cp:lastModifiedBy>
  <cp:revision>3</cp:revision>
  <cp:lastPrinted>2015-11-04T01:08:00Z</cp:lastPrinted>
  <dcterms:created xsi:type="dcterms:W3CDTF">2015-11-12T18:56:00Z</dcterms:created>
  <dcterms:modified xsi:type="dcterms:W3CDTF">2015-11-15T20:57:00Z</dcterms:modified>
</cp:coreProperties>
</file>