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9040" cy="106876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7685"/>
                    </a:xfrm>
                    <a:prstGeom prst="rect">
                      <a:avLst/>
                    </a:prstGeom>
                  </pic:spPr>
                </pic:pic>
              </a:graphicData>
            </a:graphic>
          </wp:anchor>
        </w:drawing>
      </w:r>
    </w:p>
    <w:p w:rsidR="00A75E5F" w:rsidRDefault="00A75E5F" w:rsidP="00A75E5F">
      <w:pPr>
        <w:pStyle w:val="Insidecoverdocname"/>
      </w:pPr>
      <w:bookmarkStart w:id="1" w:name="OLE_LINK37"/>
      <w:bookmarkStart w:id="2" w:name="OLE_LINK38"/>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35"/>
      <w:bookmarkStart w:id="4" w:name="OLE_LINK36"/>
      <w:r w:rsidRPr="00B36967">
        <w:rPr>
          <w:rFonts w:ascii="Arial" w:hAnsi="Arial" w:cs="Arial"/>
          <w:sz w:val="22"/>
          <w:szCs w:val="22"/>
        </w:rPr>
        <w:t xml:space="preserve">Ministry of Civil Defence &amp; Emergency Management </w:t>
      </w:r>
    </w:p>
    <w:bookmarkEnd w:id="3"/>
    <w:bookmarkEnd w:id="4"/>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442C9C" w:rsidRDefault="00B505C0">
      <w:pPr>
        <w:pStyle w:val="TOC1"/>
        <w:rPr>
          <w:rFonts w:asciiTheme="minorHAnsi" w:eastAsiaTheme="minorEastAsia" w:hAnsiTheme="minorHAnsi" w:cstheme="minorBidi"/>
          <w:b w:val="0"/>
          <w:bCs w:val="0"/>
          <w:iCs w:val="0"/>
          <w:szCs w:val="22"/>
          <w:lang w:eastAsia="en-NZ"/>
        </w:rPr>
      </w:pPr>
      <w:r w:rsidRPr="00B505C0">
        <w:fldChar w:fldCharType="begin"/>
      </w:r>
      <w:r w:rsidR="007E530A">
        <w:instrText xml:space="preserve"> TOC \o "1-2" \h \z \u \t "Heading 3,3,Heading 6,2" </w:instrText>
      </w:r>
      <w:r w:rsidRPr="00B505C0">
        <w:fldChar w:fldCharType="separate"/>
      </w:r>
      <w:hyperlink w:anchor="_Toc434928982" w:history="1">
        <w:r w:rsidR="00442C9C" w:rsidRPr="00352F5B">
          <w:rPr>
            <w:rStyle w:val="Hyperlink"/>
          </w:rPr>
          <w:t>Section 11 Household goods and services</w:t>
        </w:r>
        <w:r w:rsidR="00442C9C">
          <w:rPr>
            <w:webHidden/>
          </w:rPr>
          <w:tab/>
        </w:r>
        <w:r>
          <w:rPr>
            <w:webHidden/>
          </w:rPr>
          <w:fldChar w:fldCharType="begin"/>
        </w:r>
        <w:r w:rsidR="00442C9C">
          <w:rPr>
            <w:webHidden/>
          </w:rPr>
          <w:instrText xml:space="preserve"> PAGEREF _Toc434928982 \h </w:instrText>
        </w:r>
        <w:r>
          <w:rPr>
            <w:webHidden/>
          </w:rPr>
        </w:r>
        <w:r>
          <w:rPr>
            <w:webHidden/>
          </w:rPr>
          <w:fldChar w:fldCharType="separate"/>
        </w:r>
        <w:r w:rsidR="00442C9C">
          <w:rPr>
            <w:webHidden/>
          </w:rPr>
          <w:t>1</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83" w:history="1">
        <w:r w:rsidR="00442C9C" w:rsidRPr="00352F5B">
          <w:rPr>
            <w:rStyle w:val="Hyperlink"/>
          </w:rPr>
          <w:t>11.1 Introduction</w:t>
        </w:r>
        <w:r w:rsidR="00442C9C">
          <w:rPr>
            <w:webHidden/>
          </w:rPr>
          <w:tab/>
        </w:r>
        <w:r>
          <w:rPr>
            <w:webHidden/>
          </w:rPr>
          <w:fldChar w:fldCharType="begin"/>
        </w:r>
        <w:r w:rsidR="00442C9C">
          <w:rPr>
            <w:webHidden/>
          </w:rPr>
          <w:instrText xml:space="preserve"> PAGEREF _Toc434928983 \h </w:instrText>
        </w:r>
        <w:r>
          <w:rPr>
            <w:webHidden/>
          </w:rPr>
        </w:r>
        <w:r>
          <w:rPr>
            <w:webHidden/>
          </w:rPr>
          <w:fldChar w:fldCharType="separate"/>
        </w:r>
        <w:r w:rsidR="00442C9C">
          <w:rPr>
            <w:webHidden/>
          </w:rPr>
          <w:t>1</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84" w:history="1">
        <w:r w:rsidR="00442C9C" w:rsidRPr="00352F5B">
          <w:rPr>
            <w:rStyle w:val="Hyperlink"/>
          </w:rPr>
          <w:t>11.2 Principles</w:t>
        </w:r>
        <w:r w:rsidR="00442C9C">
          <w:rPr>
            <w:webHidden/>
          </w:rPr>
          <w:tab/>
        </w:r>
        <w:r>
          <w:rPr>
            <w:webHidden/>
          </w:rPr>
          <w:fldChar w:fldCharType="begin"/>
        </w:r>
        <w:r w:rsidR="00442C9C">
          <w:rPr>
            <w:webHidden/>
          </w:rPr>
          <w:instrText xml:space="preserve"> PAGEREF _Toc434928984 \h </w:instrText>
        </w:r>
        <w:r>
          <w:rPr>
            <w:webHidden/>
          </w:rPr>
        </w:r>
        <w:r>
          <w:rPr>
            <w:webHidden/>
          </w:rPr>
          <w:fldChar w:fldCharType="separate"/>
        </w:r>
        <w:r w:rsidR="00442C9C">
          <w:rPr>
            <w:webHidden/>
          </w:rPr>
          <w:t>3</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85" w:history="1">
        <w:r w:rsidR="00442C9C" w:rsidRPr="00352F5B">
          <w:rPr>
            <w:rStyle w:val="Hyperlink"/>
          </w:rPr>
          <w:t>11.3 Types of basic goods and services</w:t>
        </w:r>
        <w:r w:rsidR="00442C9C">
          <w:rPr>
            <w:webHidden/>
          </w:rPr>
          <w:tab/>
        </w:r>
        <w:r>
          <w:rPr>
            <w:webHidden/>
          </w:rPr>
          <w:fldChar w:fldCharType="begin"/>
        </w:r>
        <w:r w:rsidR="00442C9C">
          <w:rPr>
            <w:webHidden/>
          </w:rPr>
          <w:instrText xml:space="preserve"> PAGEREF _Toc434928985 \h </w:instrText>
        </w:r>
        <w:r>
          <w:rPr>
            <w:webHidden/>
          </w:rPr>
        </w:r>
        <w:r>
          <w:rPr>
            <w:webHidden/>
          </w:rPr>
          <w:fldChar w:fldCharType="separate"/>
        </w:r>
        <w:r w:rsidR="00442C9C">
          <w:rPr>
            <w:webHidden/>
          </w:rPr>
          <w:t>4</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86" w:history="1">
        <w:r w:rsidR="00442C9C" w:rsidRPr="00352F5B">
          <w:rPr>
            <w:rStyle w:val="Hyperlink"/>
          </w:rPr>
          <w:t>11.4 Planning considerations</w:t>
        </w:r>
        <w:r w:rsidR="00442C9C">
          <w:rPr>
            <w:webHidden/>
          </w:rPr>
          <w:tab/>
        </w:r>
        <w:r>
          <w:rPr>
            <w:webHidden/>
          </w:rPr>
          <w:fldChar w:fldCharType="begin"/>
        </w:r>
        <w:r w:rsidR="00442C9C">
          <w:rPr>
            <w:webHidden/>
          </w:rPr>
          <w:instrText xml:space="preserve"> PAGEREF _Toc434928986 \h </w:instrText>
        </w:r>
        <w:r>
          <w:rPr>
            <w:webHidden/>
          </w:rPr>
        </w:r>
        <w:r>
          <w:rPr>
            <w:webHidden/>
          </w:rPr>
          <w:fldChar w:fldCharType="separate"/>
        </w:r>
        <w:r w:rsidR="00442C9C">
          <w:rPr>
            <w:webHidden/>
          </w:rPr>
          <w:t>4</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87" w:history="1">
        <w:r w:rsidR="00442C9C" w:rsidRPr="00352F5B">
          <w:rPr>
            <w:rStyle w:val="Hyperlink"/>
          </w:rPr>
          <w:t>11.5 Reduction and readiness</w:t>
        </w:r>
        <w:r w:rsidR="00442C9C">
          <w:rPr>
            <w:webHidden/>
          </w:rPr>
          <w:tab/>
        </w:r>
        <w:r>
          <w:rPr>
            <w:webHidden/>
          </w:rPr>
          <w:fldChar w:fldCharType="begin"/>
        </w:r>
        <w:r w:rsidR="00442C9C">
          <w:rPr>
            <w:webHidden/>
          </w:rPr>
          <w:instrText xml:space="preserve"> PAGEREF _Toc434928987 \h </w:instrText>
        </w:r>
        <w:r>
          <w:rPr>
            <w:webHidden/>
          </w:rPr>
        </w:r>
        <w:r>
          <w:rPr>
            <w:webHidden/>
          </w:rPr>
          <w:fldChar w:fldCharType="separate"/>
        </w:r>
        <w:r w:rsidR="00442C9C">
          <w:rPr>
            <w:webHidden/>
          </w:rPr>
          <w:t>7</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88" w:history="1">
        <w:r w:rsidR="00442C9C" w:rsidRPr="00352F5B">
          <w:rPr>
            <w:rStyle w:val="Hyperlink"/>
          </w:rPr>
          <w:t>11.6 Response and recovery</w:t>
        </w:r>
        <w:r w:rsidR="00442C9C">
          <w:rPr>
            <w:webHidden/>
          </w:rPr>
          <w:tab/>
        </w:r>
        <w:r>
          <w:rPr>
            <w:webHidden/>
          </w:rPr>
          <w:fldChar w:fldCharType="begin"/>
        </w:r>
        <w:r w:rsidR="00442C9C">
          <w:rPr>
            <w:webHidden/>
          </w:rPr>
          <w:instrText xml:space="preserve"> PAGEREF _Toc434928988 \h </w:instrText>
        </w:r>
        <w:r>
          <w:rPr>
            <w:webHidden/>
          </w:rPr>
        </w:r>
        <w:r>
          <w:rPr>
            <w:webHidden/>
          </w:rPr>
          <w:fldChar w:fldCharType="separate"/>
        </w:r>
        <w:r w:rsidR="00442C9C">
          <w:rPr>
            <w:webHidden/>
          </w:rPr>
          <w:t>9</w:t>
        </w:r>
        <w:r>
          <w:rPr>
            <w:webHidden/>
          </w:rPr>
          <w:fldChar w:fldCharType="end"/>
        </w:r>
      </w:hyperlink>
    </w:p>
    <w:p w:rsidR="00442C9C" w:rsidRDefault="00B505C0">
      <w:pPr>
        <w:pStyle w:val="TOC1"/>
        <w:rPr>
          <w:rFonts w:asciiTheme="minorHAnsi" w:eastAsiaTheme="minorEastAsia" w:hAnsiTheme="minorHAnsi" w:cstheme="minorBidi"/>
          <w:b w:val="0"/>
          <w:bCs w:val="0"/>
          <w:iCs w:val="0"/>
          <w:szCs w:val="22"/>
          <w:lang w:eastAsia="en-NZ"/>
        </w:rPr>
      </w:pPr>
      <w:hyperlink w:anchor="_Toc434928989" w:history="1">
        <w:r w:rsidR="00442C9C" w:rsidRPr="00352F5B">
          <w:rPr>
            <w:rStyle w:val="Hyperlink"/>
          </w:rPr>
          <w:t>Appendices</w:t>
        </w:r>
        <w:r w:rsidR="00442C9C">
          <w:rPr>
            <w:webHidden/>
          </w:rPr>
          <w:tab/>
        </w:r>
        <w:r>
          <w:rPr>
            <w:webHidden/>
          </w:rPr>
          <w:fldChar w:fldCharType="begin"/>
        </w:r>
        <w:r w:rsidR="00442C9C">
          <w:rPr>
            <w:webHidden/>
          </w:rPr>
          <w:instrText xml:space="preserve"> PAGEREF _Toc434928989 \h </w:instrText>
        </w:r>
        <w:r>
          <w:rPr>
            <w:webHidden/>
          </w:rPr>
        </w:r>
        <w:r>
          <w:rPr>
            <w:webHidden/>
          </w:rPr>
          <w:fldChar w:fldCharType="separate"/>
        </w:r>
        <w:r w:rsidR="00442C9C">
          <w:rPr>
            <w:webHidden/>
          </w:rPr>
          <w:t>11</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90" w:history="1">
        <w:r w:rsidR="00442C9C" w:rsidRPr="00352F5B">
          <w:rPr>
            <w:rStyle w:val="Hyperlink"/>
          </w:rPr>
          <w:t>Appendix A Information applicable to all welfare services</w:t>
        </w:r>
        <w:r w:rsidR="00442C9C">
          <w:rPr>
            <w:webHidden/>
          </w:rPr>
          <w:tab/>
        </w:r>
        <w:r>
          <w:rPr>
            <w:webHidden/>
          </w:rPr>
          <w:fldChar w:fldCharType="begin"/>
        </w:r>
        <w:r w:rsidR="00442C9C">
          <w:rPr>
            <w:webHidden/>
          </w:rPr>
          <w:instrText xml:space="preserve"> PAGEREF _Toc434928990 \h </w:instrText>
        </w:r>
        <w:r>
          <w:rPr>
            <w:webHidden/>
          </w:rPr>
        </w:r>
        <w:r>
          <w:rPr>
            <w:webHidden/>
          </w:rPr>
          <w:fldChar w:fldCharType="separate"/>
        </w:r>
        <w:r w:rsidR="00442C9C">
          <w:rPr>
            <w:webHidden/>
          </w:rPr>
          <w:t>12</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91" w:history="1">
        <w:r w:rsidR="00442C9C" w:rsidRPr="00352F5B">
          <w:rPr>
            <w:rStyle w:val="Hyperlink"/>
          </w:rPr>
          <w:t>Appendix B Items eligible for cost reimbursement</w:t>
        </w:r>
        <w:r w:rsidR="00442C9C">
          <w:rPr>
            <w:webHidden/>
          </w:rPr>
          <w:tab/>
        </w:r>
        <w:r>
          <w:rPr>
            <w:webHidden/>
          </w:rPr>
          <w:fldChar w:fldCharType="begin"/>
        </w:r>
        <w:r w:rsidR="00442C9C">
          <w:rPr>
            <w:webHidden/>
          </w:rPr>
          <w:instrText xml:space="preserve"> PAGEREF _Toc434928991 \h </w:instrText>
        </w:r>
        <w:r>
          <w:rPr>
            <w:webHidden/>
          </w:rPr>
        </w:r>
        <w:r>
          <w:rPr>
            <w:webHidden/>
          </w:rPr>
          <w:fldChar w:fldCharType="separate"/>
        </w:r>
        <w:r w:rsidR="00442C9C">
          <w:rPr>
            <w:webHidden/>
          </w:rPr>
          <w:t>18</w:t>
        </w:r>
        <w:r>
          <w:rPr>
            <w:webHidden/>
          </w:rPr>
          <w:fldChar w:fldCharType="end"/>
        </w:r>
      </w:hyperlink>
    </w:p>
    <w:p w:rsidR="00442C9C" w:rsidRDefault="00B505C0">
      <w:pPr>
        <w:pStyle w:val="TOC2"/>
        <w:rPr>
          <w:rFonts w:asciiTheme="minorHAnsi" w:eastAsiaTheme="minorEastAsia" w:hAnsiTheme="minorHAnsi" w:cstheme="minorBidi"/>
          <w:bCs w:val="0"/>
          <w:lang w:eastAsia="en-NZ"/>
        </w:rPr>
      </w:pPr>
      <w:hyperlink w:anchor="_Toc434928992" w:history="1">
        <w:r w:rsidR="00442C9C" w:rsidRPr="00352F5B">
          <w:rPr>
            <w:rStyle w:val="Hyperlink"/>
          </w:rPr>
          <w:t>Appendix C Example grocery list</w:t>
        </w:r>
        <w:r w:rsidR="00442C9C">
          <w:rPr>
            <w:webHidden/>
          </w:rPr>
          <w:tab/>
        </w:r>
        <w:r>
          <w:rPr>
            <w:webHidden/>
          </w:rPr>
          <w:fldChar w:fldCharType="begin"/>
        </w:r>
        <w:r w:rsidR="00442C9C">
          <w:rPr>
            <w:webHidden/>
          </w:rPr>
          <w:instrText xml:space="preserve"> PAGEREF _Toc434928992 \h </w:instrText>
        </w:r>
        <w:r>
          <w:rPr>
            <w:webHidden/>
          </w:rPr>
        </w:r>
        <w:r>
          <w:rPr>
            <w:webHidden/>
          </w:rPr>
          <w:fldChar w:fldCharType="separate"/>
        </w:r>
        <w:r w:rsidR="00442C9C">
          <w:rPr>
            <w:webHidden/>
          </w:rPr>
          <w:t>19</w:t>
        </w:r>
        <w:r>
          <w:rPr>
            <w:webHidden/>
          </w:rPr>
          <w:fldChar w:fldCharType="end"/>
        </w:r>
      </w:hyperlink>
    </w:p>
    <w:p w:rsidR="00A75E5F" w:rsidRDefault="00B505C0" w:rsidP="00A75E5F">
      <w:r>
        <w:rPr>
          <w:rFonts w:cstheme="minorHAnsi"/>
          <w:noProof/>
          <w:szCs w:val="24"/>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B36F8D" w:rsidP="001F04AB">
      <w:pPr>
        <w:pStyle w:val="Heading1"/>
      </w:pPr>
      <w:bookmarkStart w:id="9" w:name="_Toc434928982"/>
      <w:bookmarkEnd w:id="5"/>
      <w:bookmarkEnd w:id="6"/>
      <w:bookmarkEnd w:id="7"/>
      <w:bookmarkEnd w:id="8"/>
      <w:r>
        <w:lastRenderedPageBreak/>
        <w:t>Household goods and services</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F867ED" w:rsidRDefault="00515749" w:rsidP="00F867ED"/>
    <w:p w:rsidR="00B36F8D" w:rsidRPr="003A3769" w:rsidRDefault="00B36F8D" w:rsidP="00B36F8D">
      <w:pPr>
        <w:pStyle w:val="Heading2"/>
        <w:ind w:left="0"/>
      </w:pPr>
      <w:bookmarkStart w:id="10" w:name="_Toc433815307"/>
      <w:bookmarkStart w:id="11" w:name="_Toc434928983"/>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B36F8D" w:rsidRPr="003A3769" w:rsidTr="001822C7">
        <w:trPr>
          <w:cantSplit/>
          <w:trHeight w:val="440"/>
        </w:trPr>
        <w:tc>
          <w:tcPr>
            <w:tcW w:w="1927" w:type="dxa"/>
            <w:tcMar>
              <w:right w:w="227" w:type="dxa"/>
            </w:tcMar>
          </w:tcPr>
          <w:p w:rsidR="00B36F8D" w:rsidRPr="003A3769" w:rsidRDefault="00B36F8D" w:rsidP="001822C7">
            <w:pPr>
              <w:rPr>
                <w:rFonts w:ascii="Arial Narrow" w:hAnsi="Arial Narrow"/>
                <w:b/>
                <w:color w:val="005A9B" w:themeColor="background2"/>
              </w:rPr>
            </w:pPr>
          </w:p>
        </w:tc>
        <w:tc>
          <w:tcPr>
            <w:tcW w:w="7706" w:type="dxa"/>
          </w:tcPr>
          <w:p w:rsidR="00B36F8D" w:rsidRDefault="00B36F8D" w:rsidP="001822C7">
            <w:r w:rsidRPr="003A3769">
              <w:t xml:space="preserve">Basic household goods and services are provided to people who have been displaced or who are sheltering in their usual place of residence as a result of an emergency. </w:t>
            </w:r>
          </w:p>
          <w:p w:rsidR="00B36F8D" w:rsidRPr="003A3769" w:rsidRDefault="00B36F8D" w:rsidP="001822C7">
            <w:r w:rsidRPr="00CD37AB">
              <w:t>Household goods and services provision may</w:t>
            </w:r>
            <w:r>
              <w:t xml:space="preserve"> also</w:t>
            </w:r>
            <w:r w:rsidRPr="00CD37AB">
              <w:t xml:space="preserve"> assist with the support of people in a </w:t>
            </w:r>
            <w:r w:rsidR="00D0417A">
              <w:t>Civil Defence Centre (</w:t>
            </w:r>
            <w:r>
              <w:t>CDC</w:t>
            </w:r>
            <w:r w:rsidR="00D0417A">
              <w:t>)</w:t>
            </w:r>
            <w:r>
              <w:t>.</w:t>
            </w:r>
            <w:r w:rsidRPr="003A3769">
              <w:t xml:space="preserve"> </w:t>
            </w:r>
          </w:p>
          <w:p w:rsidR="00B36F8D" w:rsidRPr="003A3769" w:rsidRDefault="00B36F8D" w:rsidP="001822C7">
            <w:pPr>
              <w:pStyle w:val="Spacer"/>
            </w:pP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Definition of basic goods and services</w:t>
            </w:r>
          </w:p>
        </w:tc>
        <w:tc>
          <w:tcPr>
            <w:tcW w:w="7706" w:type="dxa"/>
          </w:tcPr>
          <w:p w:rsidR="00B36F8D" w:rsidRPr="003A3769" w:rsidRDefault="00B36F8D" w:rsidP="001822C7">
            <w:r w:rsidRPr="003A3769">
              <w:t xml:space="preserve">Basic </w:t>
            </w:r>
            <w:r>
              <w:t xml:space="preserve">household </w:t>
            </w:r>
            <w:r w:rsidRPr="003A3769">
              <w:t>goods and services include food, water, clothing, bedding, and other items or services necessary for warmth, cleaning, preparing food, or general health and hygiene</w:t>
            </w:r>
            <w:r>
              <w:t>. They</w:t>
            </w:r>
            <w:r w:rsidRPr="003A3769">
              <w:t xml:space="preserve"> are only needed if normal providers are unavailable, unsuitable, or unable to meet demand, for example:</w:t>
            </w:r>
          </w:p>
          <w:p w:rsidR="00B36F8D" w:rsidRPr="003A3769" w:rsidRDefault="00B36F8D" w:rsidP="001822C7">
            <w:pPr>
              <w:pStyle w:val="Bullet"/>
            </w:pPr>
            <w:r>
              <w:t xml:space="preserve">shops are closed or supply chains for delivery of goods are affected </w:t>
            </w:r>
          </w:p>
          <w:p w:rsidR="00B36F8D" w:rsidRPr="003A3769" w:rsidRDefault="00B36F8D" w:rsidP="001822C7">
            <w:pPr>
              <w:pStyle w:val="Bullet"/>
            </w:pPr>
            <w:r w:rsidRPr="003A3769">
              <w:t xml:space="preserve">electricity is </w:t>
            </w:r>
            <w:r>
              <w:t xml:space="preserve">unavailable </w:t>
            </w:r>
            <w:r w:rsidRPr="003A3769">
              <w:t>or unreliable, or</w:t>
            </w:r>
          </w:p>
          <w:p w:rsidR="00B36F8D" w:rsidRPr="003A3769" w:rsidRDefault="00B36F8D" w:rsidP="001822C7">
            <w:pPr>
              <w:pStyle w:val="Bullet"/>
            </w:pPr>
            <w:proofErr w:type="gramStart"/>
            <w:r w:rsidRPr="003A3769">
              <w:t>water/sewerage</w:t>
            </w:r>
            <w:proofErr w:type="gramEnd"/>
            <w:r w:rsidRPr="003A3769">
              <w:t xml:space="preserve"> systems are </w:t>
            </w:r>
            <w:r>
              <w:t>unavailable</w:t>
            </w:r>
            <w:r w:rsidRPr="003A3769">
              <w:t xml:space="preserve"> or otherwise unreliable.</w:t>
            </w:r>
          </w:p>
          <w:p w:rsidR="00B36F8D" w:rsidRPr="003A3769" w:rsidRDefault="00B36F8D" w:rsidP="001822C7">
            <w:r w:rsidRPr="003A3769">
              <w:t xml:space="preserve">Basic </w:t>
            </w:r>
            <w:r>
              <w:t xml:space="preserve">household </w:t>
            </w:r>
            <w:r w:rsidRPr="003A3769">
              <w:t>goods and services may be required by people who are:</w:t>
            </w:r>
          </w:p>
          <w:p w:rsidR="00B36F8D" w:rsidRPr="003A3769" w:rsidRDefault="00B36F8D" w:rsidP="001822C7">
            <w:pPr>
              <w:pStyle w:val="Bullet"/>
            </w:pPr>
            <w:r w:rsidRPr="003A3769">
              <w:t>isolated from normal goods or service providers as a result of the emergency, or</w:t>
            </w:r>
          </w:p>
          <w:p w:rsidR="00B36F8D" w:rsidRPr="00FC2643" w:rsidRDefault="00B36F8D" w:rsidP="001822C7">
            <w:pPr>
              <w:pStyle w:val="Bullet"/>
            </w:pPr>
            <w:proofErr w:type="gramStart"/>
            <w:r w:rsidRPr="003A3769">
              <w:t>unable</w:t>
            </w:r>
            <w:proofErr w:type="gramEnd"/>
            <w:r w:rsidRPr="003A3769">
              <w:t xml:space="preserve"> to make purchases themselves because </w:t>
            </w:r>
            <w:r>
              <w:t xml:space="preserve">usual payment methods or services are unavailable (internet, </w:t>
            </w:r>
            <w:proofErr w:type="spellStart"/>
            <w:r>
              <w:t>Eftpos</w:t>
            </w:r>
            <w:proofErr w:type="spellEnd"/>
            <w:r>
              <w:t>, automatic teller machines (ATMs) etc)</w:t>
            </w:r>
            <w:r>
              <w:rPr>
                <w:shd w:val="clear" w:color="auto" w:fill="FFFFFF" w:themeFill="background1"/>
              </w:rPr>
              <w:t>.</w:t>
            </w:r>
          </w:p>
          <w:p w:rsidR="00B36F8D" w:rsidRDefault="00B36F8D" w:rsidP="001822C7">
            <w:r>
              <w:t>Basic household goods and services</w:t>
            </w:r>
            <w:r w:rsidRPr="003A3769">
              <w:t xml:space="preserve"> </w:t>
            </w:r>
            <w:r>
              <w:t xml:space="preserve">are provided </w:t>
            </w:r>
            <w:r w:rsidRPr="003A3769">
              <w:t>until other methods of supply can be put in place</w:t>
            </w:r>
            <w:r>
              <w:t xml:space="preserve"> (e.g. </w:t>
            </w:r>
            <w:r w:rsidRPr="0028411A">
              <w:t>local businesses resume and/or usual payment options are available</w:t>
            </w:r>
            <w:r>
              <w:t>)</w:t>
            </w:r>
            <w:r w:rsidRPr="003A3769">
              <w:t>.</w:t>
            </w:r>
          </w:p>
          <w:p w:rsidR="00B36F8D" w:rsidRPr="00FC2643" w:rsidRDefault="00B36F8D" w:rsidP="001822C7">
            <w:pPr>
              <w:pStyle w:val="Spacer"/>
            </w:pP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 xml:space="preserve">Agency responsible </w:t>
            </w:r>
          </w:p>
        </w:tc>
        <w:tc>
          <w:tcPr>
            <w:tcW w:w="7706" w:type="dxa"/>
          </w:tcPr>
          <w:p w:rsidR="00B36F8D" w:rsidRPr="003A3769" w:rsidRDefault="00B36F8D" w:rsidP="001822C7">
            <w:r>
              <w:t>MCDEM and CDEM Groups (including local authorities) are</w:t>
            </w:r>
            <w:r w:rsidRPr="003A3769">
              <w:t xml:space="preserve"> the agenc</w:t>
            </w:r>
            <w:r>
              <w:t>ies</w:t>
            </w:r>
            <w:r w:rsidRPr="003A3769">
              <w:t xml:space="preserve"> responsible for providing advice and coordinating the provision of household goods and services and other essential items (including food, water, groceries, medication, cooking fuel, clothing, bedding, sanitation and pet food).</w:t>
            </w:r>
          </w:p>
          <w:p w:rsidR="00B36F8D" w:rsidRPr="003A3769" w:rsidRDefault="00B36F8D" w:rsidP="001822C7">
            <w:r w:rsidRPr="003A3769">
              <w:t xml:space="preserve">At a </w:t>
            </w:r>
            <w:r w:rsidRPr="003A3769">
              <w:rPr>
                <w:b/>
              </w:rPr>
              <w:t>national level</w:t>
            </w:r>
            <w:r w:rsidRPr="003A3769">
              <w:t>, the focus is on ensuring that appropriate mechanisms exist to enable the coordination and provision of advice to those organisations that are responding to affected communities.</w:t>
            </w:r>
          </w:p>
          <w:p w:rsidR="00B36F8D" w:rsidRPr="00A8013D" w:rsidRDefault="00B36F8D" w:rsidP="001822C7">
            <w:r w:rsidRPr="003A3769">
              <w:t xml:space="preserve">At the </w:t>
            </w:r>
            <w:r w:rsidRPr="003A3769">
              <w:rPr>
                <w:b/>
              </w:rPr>
              <w:t>CDEM Group level</w:t>
            </w:r>
            <w:r w:rsidRPr="003A3769">
              <w:t>, CDEM Groups are responsible for planning and coordinating the provision of household goods and services and other essential items to people who are either displaced or sheltering in place as a result of an emergency.</w:t>
            </w: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lastRenderedPageBreak/>
              <w:t>Support agencies</w:t>
            </w:r>
          </w:p>
        </w:tc>
        <w:tc>
          <w:tcPr>
            <w:tcW w:w="7706" w:type="dxa"/>
          </w:tcPr>
          <w:p w:rsidR="00B36F8D" w:rsidRPr="00411550" w:rsidRDefault="00B36F8D" w:rsidP="001822C7">
            <w:r w:rsidRPr="003A3769">
              <w:t xml:space="preserve">At the national and CDEM Group levels the agencies </w:t>
            </w:r>
            <w:r>
              <w:t xml:space="preserve">shown in </w:t>
            </w:r>
            <w:r w:rsidR="00B505C0">
              <w:fldChar w:fldCharType="begin"/>
            </w:r>
            <w:r>
              <w:instrText xml:space="preserve"> REF _Ref432166720 \h </w:instrText>
            </w:r>
            <w:r w:rsidR="00B505C0">
              <w:fldChar w:fldCharType="separate"/>
            </w:r>
            <w:r w:rsidR="00442C9C" w:rsidRPr="003A3769">
              <w:t xml:space="preserve">Table </w:t>
            </w:r>
            <w:r w:rsidR="00442C9C">
              <w:rPr>
                <w:noProof/>
              </w:rPr>
              <w:t>1</w:t>
            </w:r>
            <w:r w:rsidR="00B505C0">
              <w:fldChar w:fldCharType="end"/>
            </w:r>
            <w:r>
              <w:t xml:space="preserve"> </w:t>
            </w:r>
            <w:r w:rsidRPr="003A3769">
              <w:t>may be required to coordinate advice and assistance, or provide specific services</w:t>
            </w:r>
            <w:r>
              <w:t>.</w:t>
            </w:r>
          </w:p>
        </w:tc>
      </w:tr>
    </w:tbl>
    <w:p w:rsidR="00B36F8D" w:rsidRPr="003A3769" w:rsidRDefault="00B36F8D" w:rsidP="00B36F8D">
      <w:pPr>
        <w:pStyle w:val="Caption"/>
        <w:keepNext/>
      </w:pPr>
      <w:bookmarkStart w:id="12" w:name="_Ref432166720"/>
      <w:r w:rsidRPr="003A3769">
        <w:t xml:space="preserve">Table </w:t>
      </w:r>
      <w:r w:rsidR="00B505C0">
        <w:fldChar w:fldCharType="begin"/>
      </w:r>
      <w:r w:rsidR="00477527">
        <w:instrText xml:space="preserve"> SEQ Table \* ARABIC </w:instrText>
      </w:r>
      <w:r w:rsidR="00B505C0">
        <w:fldChar w:fldCharType="separate"/>
      </w:r>
      <w:r w:rsidR="00442C9C">
        <w:rPr>
          <w:noProof/>
        </w:rPr>
        <w:t>1</w:t>
      </w:r>
      <w:r w:rsidR="00B505C0">
        <w:rPr>
          <w:noProof/>
        </w:rPr>
        <w:fldChar w:fldCharType="end"/>
      </w:r>
      <w:bookmarkEnd w:id="12"/>
      <w:r w:rsidRPr="003A3769">
        <w:t xml:space="preserve"> Support agencies for the household goods and services sub-function</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149"/>
        <w:gridCol w:w="1531"/>
        <w:gridCol w:w="6061"/>
      </w:tblGrid>
      <w:tr w:rsidR="00B36F8D" w:rsidRPr="003A3769" w:rsidTr="001822C7">
        <w:trPr>
          <w:cantSplit/>
        </w:trPr>
        <w:tc>
          <w:tcPr>
            <w:tcW w:w="1103"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B36F8D" w:rsidRPr="003A3769" w:rsidRDefault="00B36F8D" w:rsidP="001822C7">
            <w:pPr>
              <w:spacing w:before="60" w:after="60" w:line="240" w:lineRule="auto"/>
              <w:rPr>
                <w:b/>
                <w:color w:val="FFFFFF"/>
              </w:rPr>
            </w:pPr>
            <w:r w:rsidRPr="003A3769">
              <w:rPr>
                <w:b/>
                <w:color w:val="FFFFFF"/>
              </w:rPr>
              <w:t>Agency</w:t>
            </w:r>
          </w:p>
        </w:tc>
        <w:tc>
          <w:tcPr>
            <w:tcW w:w="786"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B36F8D" w:rsidRPr="003A3769" w:rsidRDefault="00B36F8D" w:rsidP="001822C7">
            <w:pPr>
              <w:spacing w:before="60" w:after="60" w:line="240" w:lineRule="auto"/>
              <w:rPr>
                <w:b/>
                <w:color w:val="FFFFFF"/>
              </w:rPr>
            </w:pPr>
            <w:r w:rsidRPr="003A3769">
              <w:rPr>
                <w:b/>
                <w:color w:val="FFFFFF"/>
              </w:rPr>
              <w:t>Level</w:t>
            </w:r>
          </w:p>
        </w:tc>
        <w:tc>
          <w:tcPr>
            <w:tcW w:w="3111"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B36F8D" w:rsidRPr="003A3769" w:rsidRDefault="00B36F8D" w:rsidP="001822C7">
            <w:pPr>
              <w:spacing w:before="60" w:after="60" w:line="240" w:lineRule="auto"/>
              <w:rPr>
                <w:b/>
                <w:color w:val="FFFFFF"/>
              </w:rPr>
            </w:pPr>
            <w:r w:rsidRPr="003A3769">
              <w:rPr>
                <w:b/>
                <w:color w:val="FFFFFF"/>
              </w:rPr>
              <w:t>Support</w:t>
            </w:r>
          </w:p>
        </w:tc>
      </w:tr>
      <w:tr w:rsidR="00B36F8D" w:rsidRPr="003A3769" w:rsidTr="001822C7">
        <w:trPr>
          <w:cantSplit/>
        </w:trPr>
        <w:tc>
          <w:tcPr>
            <w:tcW w:w="1103"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Ministry of Health</w:t>
            </w:r>
          </w:p>
        </w:tc>
        <w:tc>
          <w:tcPr>
            <w:tcW w:w="786"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National</w:t>
            </w:r>
          </w:p>
        </w:tc>
        <w:tc>
          <w:tcPr>
            <w:tcW w:w="3111"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To provide advice on health considerations and ongoing healthcare provisions.</w:t>
            </w:r>
          </w:p>
        </w:tc>
      </w:tr>
      <w:tr w:rsidR="00B36F8D" w:rsidRPr="003A3769" w:rsidTr="001822C7">
        <w:trPr>
          <w:cantSplit/>
        </w:trPr>
        <w:tc>
          <w:tcPr>
            <w:tcW w:w="1103"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District Health Boards</w:t>
            </w:r>
            <w:r>
              <w:t xml:space="preserve"> (</w:t>
            </w:r>
            <w:proofErr w:type="spellStart"/>
            <w:r>
              <w:t>DHBs</w:t>
            </w:r>
            <w:proofErr w:type="spellEnd"/>
            <w:r>
              <w:t>)</w:t>
            </w:r>
          </w:p>
        </w:tc>
        <w:tc>
          <w:tcPr>
            <w:tcW w:w="786"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Regional and Local</w:t>
            </w:r>
          </w:p>
        </w:tc>
        <w:tc>
          <w:tcPr>
            <w:tcW w:w="3111"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To provide medication and other items to support primary care, pharmacies and Public Health Units.</w:t>
            </w:r>
          </w:p>
          <w:p w:rsidR="00B36F8D" w:rsidRPr="0097506A" w:rsidRDefault="00B36F8D" w:rsidP="001822C7">
            <w:pPr>
              <w:pStyle w:val="Tablenormal0"/>
            </w:pPr>
            <w:r w:rsidRPr="0097506A">
              <w:t>To provide advice, resources and services for affected communities.</w:t>
            </w:r>
          </w:p>
        </w:tc>
      </w:tr>
      <w:tr w:rsidR="00B36F8D" w:rsidRPr="003A3769" w:rsidTr="001822C7">
        <w:trPr>
          <w:cantSplit/>
        </w:trPr>
        <w:tc>
          <w:tcPr>
            <w:tcW w:w="1103"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Public Health Units</w:t>
            </w:r>
            <w:r>
              <w:t xml:space="preserve"> (</w:t>
            </w:r>
            <w:proofErr w:type="spellStart"/>
            <w:r>
              <w:t>PHUs</w:t>
            </w:r>
            <w:proofErr w:type="spellEnd"/>
            <w:r>
              <w:t>)</w:t>
            </w:r>
          </w:p>
          <w:p w:rsidR="00B36F8D" w:rsidRPr="0097506A" w:rsidRDefault="00B36F8D" w:rsidP="001822C7">
            <w:pPr>
              <w:pStyle w:val="Tablenormal0"/>
            </w:pPr>
          </w:p>
        </w:tc>
        <w:tc>
          <w:tcPr>
            <w:tcW w:w="786"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Regional and Local</w:t>
            </w:r>
          </w:p>
        </w:tc>
        <w:tc>
          <w:tcPr>
            <w:tcW w:w="3111" w:type="pct"/>
            <w:tcBorders>
              <w:top w:val="single" w:sz="6" w:space="0" w:color="005A9B" w:themeColor="background2"/>
              <w:bottom w:val="single" w:sz="6" w:space="0" w:color="005A9B" w:themeColor="background2"/>
            </w:tcBorders>
          </w:tcPr>
          <w:p w:rsidR="00B36F8D" w:rsidRPr="0097506A" w:rsidRDefault="00B36F8D" w:rsidP="001822C7">
            <w:pPr>
              <w:pStyle w:val="Tablenormal0"/>
            </w:pPr>
            <w:r w:rsidRPr="0097506A">
              <w:t>To provide advice (including safety of water) and public health services (supported by local authority Environmental Health Officers) to the health and CDEM sectors and affected communities.</w:t>
            </w:r>
          </w:p>
        </w:tc>
      </w:tr>
      <w:tr w:rsidR="00B36F8D" w:rsidRPr="003A3769" w:rsidTr="001822C7">
        <w:trPr>
          <w:cantSplit/>
        </w:trPr>
        <w:tc>
          <w:tcPr>
            <w:tcW w:w="1103"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Local authorities</w:t>
            </w: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Regional</w:t>
            </w:r>
            <w:r>
              <w:t xml:space="preserve"> and local</w:t>
            </w:r>
          </w:p>
        </w:tc>
        <w:tc>
          <w:tcPr>
            <w:tcW w:w="3111" w:type="pct"/>
            <w:tcBorders>
              <w:top w:val="single" w:sz="6" w:space="0" w:color="005A9B" w:themeColor="background2"/>
              <w:bottom w:val="single" w:sz="6" w:space="0" w:color="005A9B" w:themeColor="background2"/>
            </w:tcBorders>
          </w:tcPr>
          <w:p w:rsidR="00B36F8D" w:rsidRDefault="00B36F8D" w:rsidP="001822C7">
            <w:pPr>
              <w:pStyle w:val="Tablenormal0"/>
            </w:pPr>
            <w:r>
              <w:t>To procure</w:t>
            </w:r>
            <w:r w:rsidRPr="003A3769">
              <w:t xml:space="preserve"> and coordinate the distribution of household goods and services.</w:t>
            </w:r>
          </w:p>
          <w:p w:rsidR="00B36F8D" w:rsidRPr="003A3769" w:rsidRDefault="00B36F8D" w:rsidP="001822C7">
            <w:pPr>
              <w:pStyle w:val="Tablenormal0"/>
            </w:pPr>
            <w:r w:rsidRPr="0097506A">
              <w:t>Environmental Health Officers to provide advice (including safety of water) and public health services (in support of P</w:t>
            </w:r>
            <w:r>
              <w:t xml:space="preserve">ublic </w:t>
            </w:r>
            <w:r w:rsidRPr="0097506A">
              <w:t>H</w:t>
            </w:r>
            <w:r>
              <w:t xml:space="preserve">ealth </w:t>
            </w:r>
            <w:r w:rsidRPr="0097506A">
              <w:t>U</w:t>
            </w:r>
            <w:r>
              <w:t>nit</w:t>
            </w:r>
            <w:r w:rsidRPr="0097506A">
              <w:t>s) to the health and CDEM sectors and affected communities</w:t>
            </w:r>
            <w:r>
              <w:t>.</w:t>
            </w:r>
          </w:p>
        </w:tc>
      </w:tr>
      <w:tr w:rsidR="00B36F8D" w:rsidRPr="003A3769" w:rsidTr="001822C7">
        <w:trPr>
          <w:cantSplit/>
        </w:trPr>
        <w:tc>
          <w:tcPr>
            <w:tcW w:w="1103"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Ministry for Primary Industries</w:t>
            </w: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National and regional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provide advice on food safety.</w:t>
            </w:r>
          </w:p>
        </w:tc>
      </w:tr>
      <w:tr w:rsidR="00B36F8D" w:rsidRPr="003A3769" w:rsidTr="001822C7">
        <w:trPr>
          <w:cantSplit/>
        </w:trPr>
        <w:tc>
          <w:tcPr>
            <w:tcW w:w="1103" w:type="pct"/>
            <w:vMerge w:val="restar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New Zealand Defence Force</w:t>
            </w:r>
          </w:p>
          <w:p w:rsidR="00B36F8D" w:rsidRPr="003A3769" w:rsidRDefault="00B36F8D" w:rsidP="001822C7">
            <w:pPr>
              <w:pStyle w:val="Tablenormal0"/>
            </w:pP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National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provide advice on the coordination, provision and distribution of water, food and other essential items (including sanitation facilities).</w:t>
            </w:r>
          </w:p>
        </w:tc>
      </w:tr>
      <w:tr w:rsidR="00B36F8D" w:rsidRPr="003A3769" w:rsidTr="001822C7">
        <w:trPr>
          <w:cantSplit/>
        </w:trPr>
        <w:tc>
          <w:tcPr>
            <w:tcW w:w="1103" w:type="pct"/>
            <w:vMerge/>
            <w:tcBorders>
              <w:top w:val="single" w:sz="6" w:space="0" w:color="005A9B" w:themeColor="background2"/>
              <w:bottom w:val="single" w:sz="6" w:space="0" w:color="005A9B" w:themeColor="background2"/>
            </w:tcBorders>
          </w:tcPr>
          <w:p w:rsidR="00B36F8D" w:rsidRPr="003A3769" w:rsidRDefault="00B36F8D" w:rsidP="001822C7">
            <w:pPr>
              <w:pStyle w:val="Tablenormal0"/>
            </w:pP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Regional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support the provision and distribution of water, food and other essential items (including sanitation facilities).</w:t>
            </w:r>
          </w:p>
        </w:tc>
      </w:tr>
      <w:tr w:rsidR="00B36F8D" w:rsidRPr="003A3769" w:rsidTr="001822C7">
        <w:trPr>
          <w:cantSplit/>
        </w:trPr>
        <w:tc>
          <w:tcPr>
            <w:tcW w:w="1103"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New Zealand Food &amp; Grocery Council Incorporated</w:t>
            </w: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National and regional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provide advice on the provision and distribution of food</w:t>
            </w:r>
            <w:r>
              <w:t>, bottled drinking water,</w:t>
            </w:r>
            <w:r w:rsidRPr="003A3769">
              <w:t xml:space="preserve"> and grocery items.</w:t>
            </w:r>
          </w:p>
        </w:tc>
      </w:tr>
      <w:tr w:rsidR="00B36F8D" w:rsidRPr="003A3769" w:rsidTr="001822C7">
        <w:trPr>
          <w:cantSplit/>
        </w:trPr>
        <w:tc>
          <w:tcPr>
            <w:tcW w:w="1103" w:type="pct"/>
            <w:vMerge w:val="restart"/>
            <w:tcBorders>
              <w:top w:val="single" w:sz="6" w:space="0" w:color="005A9B" w:themeColor="background2"/>
            </w:tcBorders>
          </w:tcPr>
          <w:p w:rsidR="00B36F8D" w:rsidRPr="003A3769" w:rsidRDefault="00B36F8D" w:rsidP="001822C7">
            <w:pPr>
              <w:pStyle w:val="Tablenormal0"/>
            </w:pPr>
            <w:r w:rsidRPr="003A3769">
              <w:t>New Zealand Red Cross</w:t>
            </w: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National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provide advice on the distribution of water, food and other essential items.</w:t>
            </w:r>
          </w:p>
        </w:tc>
      </w:tr>
      <w:tr w:rsidR="00B36F8D" w:rsidRPr="003A3769" w:rsidTr="001822C7">
        <w:trPr>
          <w:cantSplit/>
        </w:trPr>
        <w:tc>
          <w:tcPr>
            <w:tcW w:w="1103" w:type="pct"/>
            <w:vMerge/>
            <w:tcBorders>
              <w:bottom w:val="single" w:sz="6" w:space="0" w:color="005A9B" w:themeColor="background2"/>
            </w:tcBorders>
          </w:tcPr>
          <w:p w:rsidR="00B36F8D" w:rsidRPr="003A3769" w:rsidRDefault="00B36F8D" w:rsidP="001822C7">
            <w:pPr>
              <w:pStyle w:val="Tablenormal0"/>
            </w:pP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Regional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support the distribution of household goods and services.</w:t>
            </w:r>
          </w:p>
        </w:tc>
      </w:tr>
      <w:tr w:rsidR="00B36F8D" w:rsidRPr="003A3769" w:rsidTr="001822C7">
        <w:trPr>
          <w:cantSplit/>
        </w:trPr>
        <w:tc>
          <w:tcPr>
            <w:tcW w:w="1103" w:type="pct"/>
            <w:vMerge w:val="restart"/>
            <w:tcBorders>
              <w:top w:val="single" w:sz="6" w:space="0" w:color="005A9B" w:themeColor="background2"/>
            </w:tcBorders>
          </w:tcPr>
          <w:p w:rsidR="00B36F8D" w:rsidRPr="003A3769" w:rsidRDefault="00B36F8D" w:rsidP="001822C7">
            <w:pPr>
              <w:pStyle w:val="Tablenormal0"/>
            </w:pPr>
            <w:r w:rsidRPr="003A3769">
              <w:t>Salvation Army</w:t>
            </w:r>
          </w:p>
          <w:p w:rsidR="00B36F8D" w:rsidRPr="003A3769" w:rsidRDefault="00B36F8D" w:rsidP="001822C7">
            <w:pPr>
              <w:pStyle w:val="Tablenormal0"/>
            </w:pP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National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support the distribution of household goods and services, especially food, clothing, and furnishings.</w:t>
            </w:r>
          </w:p>
        </w:tc>
      </w:tr>
      <w:tr w:rsidR="00B36F8D" w:rsidRPr="003A3769" w:rsidTr="001822C7">
        <w:trPr>
          <w:cantSplit/>
        </w:trPr>
        <w:tc>
          <w:tcPr>
            <w:tcW w:w="1103" w:type="pct"/>
            <w:vMerge/>
          </w:tcPr>
          <w:p w:rsidR="00B36F8D" w:rsidRPr="003A3769" w:rsidRDefault="00B36F8D" w:rsidP="001822C7">
            <w:pPr>
              <w:pStyle w:val="Tablenormal0"/>
            </w:pP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Regional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rsidRPr="003A3769">
              <w:t>To support the distribution of household goods and services, especially food, clothing and furnishings.</w:t>
            </w:r>
          </w:p>
        </w:tc>
      </w:tr>
      <w:tr w:rsidR="00B36F8D" w:rsidRPr="003A3769" w:rsidTr="001822C7">
        <w:trPr>
          <w:cantSplit/>
        </w:trPr>
        <w:tc>
          <w:tcPr>
            <w:tcW w:w="1103" w:type="pct"/>
          </w:tcPr>
          <w:p w:rsidR="00B36F8D" w:rsidRPr="003A3769" w:rsidRDefault="00B36F8D" w:rsidP="001822C7">
            <w:pPr>
              <w:pStyle w:val="Tablenormal0"/>
            </w:pPr>
            <w:r>
              <w:t>Local community organisations</w:t>
            </w:r>
          </w:p>
        </w:tc>
        <w:tc>
          <w:tcPr>
            <w:tcW w:w="786"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t>Local</w:t>
            </w:r>
          </w:p>
        </w:tc>
        <w:tc>
          <w:tcPr>
            <w:tcW w:w="3111" w:type="pct"/>
            <w:tcBorders>
              <w:top w:val="single" w:sz="6" w:space="0" w:color="005A9B" w:themeColor="background2"/>
              <w:bottom w:val="single" w:sz="6" w:space="0" w:color="005A9B" w:themeColor="background2"/>
            </w:tcBorders>
          </w:tcPr>
          <w:p w:rsidR="00B36F8D" w:rsidRPr="003A3769" w:rsidRDefault="00B36F8D" w:rsidP="001822C7">
            <w:pPr>
              <w:pStyle w:val="Tablenormal0"/>
            </w:pPr>
            <w:r>
              <w:t xml:space="preserve">To support the provision and distribution of household goods and services in line with local planning arrangements. </w:t>
            </w:r>
          </w:p>
        </w:tc>
      </w:tr>
      <w:tr w:rsidR="00B36F8D" w:rsidRPr="003A3769" w:rsidTr="001822C7">
        <w:trPr>
          <w:cantSplit/>
        </w:trPr>
        <w:tc>
          <w:tcPr>
            <w:tcW w:w="1103" w:type="pct"/>
            <w:tcBorders>
              <w:bottom w:val="single" w:sz="12" w:space="0" w:color="005A9B" w:themeColor="background2"/>
            </w:tcBorders>
          </w:tcPr>
          <w:p w:rsidR="00B36F8D" w:rsidRDefault="00B36F8D" w:rsidP="001822C7">
            <w:pPr>
              <w:pStyle w:val="Tablenormal0"/>
            </w:pPr>
            <w:r>
              <w:t>Local businesses</w:t>
            </w:r>
          </w:p>
        </w:tc>
        <w:tc>
          <w:tcPr>
            <w:tcW w:w="786" w:type="pct"/>
            <w:tcBorders>
              <w:top w:val="single" w:sz="6" w:space="0" w:color="005A9B" w:themeColor="background2"/>
              <w:bottom w:val="single" w:sz="12" w:space="0" w:color="005A9B" w:themeColor="background2"/>
            </w:tcBorders>
          </w:tcPr>
          <w:p w:rsidR="00B36F8D" w:rsidRDefault="00B36F8D" w:rsidP="001822C7">
            <w:pPr>
              <w:pStyle w:val="Tablenormal0"/>
            </w:pPr>
            <w:r>
              <w:t>Local</w:t>
            </w:r>
          </w:p>
        </w:tc>
        <w:tc>
          <w:tcPr>
            <w:tcW w:w="3111" w:type="pct"/>
            <w:tcBorders>
              <w:top w:val="single" w:sz="6" w:space="0" w:color="005A9B" w:themeColor="background2"/>
              <w:bottom w:val="single" w:sz="12" w:space="0" w:color="005A9B" w:themeColor="background2"/>
            </w:tcBorders>
          </w:tcPr>
          <w:p w:rsidR="00B36F8D" w:rsidRDefault="00B36F8D" w:rsidP="001822C7">
            <w:pPr>
              <w:pStyle w:val="Tablenormal0"/>
            </w:pPr>
            <w:r>
              <w:t>To support the provision and distribution of household goods and services in line with local planning arrangements.</w:t>
            </w:r>
          </w:p>
        </w:tc>
      </w:tr>
    </w:tbl>
    <w:p w:rsidR="00B36F8D" w:rsidRPr="003A3769" w:rsidRDefault="00B36F8D" w:rsidP="00B36F8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3"/>
        <w:gridCol w:w="7760"/>
      </w:tblGrid>
      <w:tr w:rsidR="00B36F8D" w:rsidRPr="003A3769" w:rsidTr="001822C7">
        <w:trPr>
          <w:cantSplit/>
        </w:trPr>
        <w:tc>
          <w:tcPr>
            <w:tcW w:w="1873" w:type="dxa"/>
            <w:tcMar>
              <w:right w:w="227" w:type="dxa"/>
            </w:tcMar>
          </w:tcPr>
          <w:p w:rsidR="00B36F8D" w:rsidRPr="003A3769" w:rsidRDefault="00B36F8D" w:rsidP="001822C7">
            <w:pPr>
              <w:pStyle w:val="LHcolumn"/>
            </w:pPr>
            <w:r w:rsidRPr="003A3769">
              <w:lastRenderedPageBreak/>
              <w:t>Further support</w:t>
            </w:r>
          </w:p>
        </w:tc>
        <w:tc>
          <w:tcPr>
            <w:tcW w:w="7760" w:type="dxa"/>
          </w:tcPr>
          <w:p w:rsidR="00B36F8D" w:rsidRDefault="00B36F8D" w:rsidP="001822C7">
            <w:r>
              <w:t>Support may also be provided by any other government agency or non-government organisation than can provide relevant advice or information.</w:t>
            </w:r>
          </w:p>
          <w:p w:rsidR="00B36F8D" w:rsidRPr="003A3769" w:rsidRDefault="00B36F8D" w:rsidP="001822C7">
            <w:r>
              <w:t xml:space="preserve">CDEM Groups/local authorities may collaborate with other agencies and organisations on the provision of </w:t>
            </w:r>
            <w:r w:rsidRPr="0097506A">
              <w:t>household goods and services</w:t>
            </w:r>
            <w:r>
              <w:t xml:space="preserve"> at the local and regional level, as shown in </w:t>
            </w:r>
            <w:r w:rsidR="00B505C0">
              <w:fldChar w:fldCharType="begin"/>
            </w:r>
            <w:r>
              <w:instrText xml:space="preserve"> REF _Ref430870675 \h </w:instrText>
            </w:r>
            <w:r w:rsidR="00B505C0">
              <w:fldChar w:fldCharType="separate"/>
            </w:r>
            <w:r w:rsidR="00442C9C" w:rsidRPr="003A3769">
              <w:t xml:space="preserve">Table </w:t>
            </w:r>
            <w:r w:rsidR="00442C9C">
              <w:rPr>
                <w:noProof/>
              </w:rPr>
              <w:t>2</w:t>
            </w:r>
            <w:r w:rsidR="00B505C0">
              <w:fldChar w:fldCharType="end"/>
            </w:r>
            <w:r w:rsidRPr="003A3769">
              <w:t>.</w:t>
            </w:r>
          </w:p>
        </w:tc>
      </w:tr>
    </w:tbl>
    <w:p w:rsidR="00B36F8D" w:rsidRPr="003A3769" w:rsidRDefault="00B36F8D" w:rsidP="00B36F8D">
      <w:pPr>
        <w:pStyle w:val="Caption"/>
        <w:keepNext/>
      </w:pPr>
      <w:bookmarkStart w:id="13" w:name="_Ref430870675"/>
      <w:r w:rsidRPr="003A3769">
        <w:t xml:space="preserve">Table </w:t>
      </w:r>
      <w:r w:rsidR="00B505C0">
        <w:fldChar w:fldCharType="begin"/>
      </w:r>
      <w:r w:rsidR="00477527">
        <w:instrText xml:space="preserve"> SEQ Table \* ARABIC </w:instrText>
      </w:r>
      <w:r w:rsidR="00B505C0">
        <w:fldChar w:fldCharType="separate"/>
      </w:r>
      <w:r w:rsidR="00442C9C">
        <w:rPr>
          <w:noProof/>
        </w:rPr>
        <w:t>2</w:t>
      </w:r>
      <w:r w:rsidR="00B505C0">
        <w:rPr>
          <w:noProof/>
        </w:rPr>
        <w:fldChar w:fldCharType="end"/>
      </w:r>
      <w:bookmarkEnd w:id="13"/>
      <w:r w:rsidRPr="003A3769">
        <w:t xml:space="preserve"> Further support for </w:t>
      </w:r>
      <w:r>
        <w:t>household goods and services</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439"/>
        <w:gridCol w:w="7195"/>
      </w:tblGrid>
      <w:tr w:rsidR="00B36F8D" w:rsidRPr="003A3769" w:rsidTr="001822C7">
        <w:trPr>
          <w:cantSplit/>
        </w:trPr>
        <w:tc>
          <w:tcPr>
            <w:tcW w:w="126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B36F8D" w:rsidRPr="003A3769" w:rsidRDefault="00B36F8D" w:rsidP="001822C7">
            <w:pPr>
              <w:pStyle w:val="Tableheading"/>
            </w:pPr>
            <w:r w:rsidRPr="003A3769">
              <w:t>Agency</w:t>
            </w:r>
          </w:p>
        </w:tc>
        <w:tc>
          <w:tcPr>
            <w:tcW w:w="373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B36F8D" w:rsidRPr="003A3769" w:rsidRDefault="00B36F8D" w:rsidP="001822C7">
            <w:pPr>
              <w:pStyle w:val="Tableheading"/>
            </w:pPr>
            <w:r>
              <w:t xml:space="preserve">Nature of collaboration </w:t>
            </w:r>
          </w:p>
        </w:tc>
      </w:tr>
      <w:tr w:rsidR="00B36F8D" w:rsidRPr="003A3769" w:rsidTr="001822C7">
        <w:trPr>
          <w:cantSplit/>
        </w:trPr>
        <w:tc>
          <w:tcPr>
            <w:tcW w:w="1266" w:type="pct"/>
            <w:tcBorders>
              <w:top w:val="single" w:sz="6" w:space="0" w:color="005A9B" w:themeColor="background2"/>
              <w:bottom w:val="single" w:sz="12" w:space="0" w:color="005A9B" w:themeColor="background2"/>
            </w:tcBorders>
          </w:tcPr>
          <w:p w:rsidR="00B36F8D" w:rsidRPr="003A3769" w:rsidRDefault="00B36F8D" w:rsidP="001822C7">
            <w:pPr>
              <w:pStyle w:val="Tablenormal0"/>
            </w:pPr>
            <w:r>
              <w:t xml:space="preserve">Ministry of Social Development </w:t>
            </w:r>
          </w:p>
        </w:tc>
        <w:tc>
          <w:tcPr>
            <w:tcW w:w="3734" w:type="pct"/>
            <w:tcBorders>
              <w:top w:val="single" w:sz="6" w:space="0" w:color="005A9B" w:themeColor="background2"/>
              <w:bottom w:val="single" w:sz="12" w:space="0" w:color="005A9B" w:themeColor="background2"/>
            </w:tcBorders>
          </w:tcPr>
          <w:p w:rsidR="00B36F8D" w:rsidRPr="003A3769" w:rsidRDefault="00B36F8D" w:rsidP="001822C7">
            <w:pPr>
              <w:pStyle w:val="Tablenormal0"/>
            </w:pPr>
            <w:r>
              <w:t>T</w:t>
            </w:r>
            <w:r w:rsidRPr="0097506A">
              <w:t>o understand the needs of those affected to ensure that they are met through the most appropriate channel, avoiding duplication of services and assistance</w:t>
            </w:r>
            <w:r>
              <w:t>.</w:t>
            </w:r>
          </w:p>
        </w:tc>
      </w:tr>
    </w:tbl>
    <w:p w:rsidR="00B36F8D" w:rsidRPr="003A3769" w:rsidRDefault="00B36F8D" w:rsidP="00B36F8D"/>
    <w:p w:rsidR="00B36F8D" w:rsidRDefault="00B36F8D" w:rsidP="00B36F8D">
      <w:pPr>
        <w:pStyle w:val="Heading2"/>
        <w:ind w:left="0"/>
      </w:pPr>
      <w:bookmarkStart w:id="14" w:name="_Toc433815308"/>
      <w:bookmarkStart w:id="15" w:name="_Toc434928984"/>
      <w:bookmarkStart w:id="16" w:name="_Ref421616491"/>
      <w:r>
        <w:t>Principles</w:t>
      </w:r>
      <w:bookmarkEnd w:id="14"/>
      <w:bookmarkEnd w:id="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5"/>
      </w:tblGrid>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p>
        </w:tc>
        <w:tc>
          <w:tcPr>
            <w:tcW w:w="7705" w:type="dxa"/>
          </w:tcPr>
          <w:p w:rsidR="00B36F8D" w:rsidRPr="009D2413" w:rsidRDefault="00B36F8D" w:rsidP="001822C7">
            <w:r w:rsidRPr="009D2413">
              <w:t xml:space="preserve">The </w:t>
            </w:r>
            <w:r>
              <w:t>h</w:t>
            </w:r>
            <w:r w:rsidRPr="009D2413">
              <w:t>ousehold goods and services sub-function is based on the following principles:</w:t>
            </w:r>
          </w:p>
          <w:p w:rsidR="00B36F8D" w:rsidRDefault="00B36F8D" w:rsidP="00B36F8D">
            <w:pPr>
              <w:pStyle w:val="Numbering"/>
              <w:numPr>
                <w:ilvl w:val="0"/>
                <w:numId w:val="20"/>
              </w:numPr>
            </w:pPr>
            <w:r>
              <w:t>Basic household goods and services are only provided when normal providers or supplies are unavailable, unsuitable, or unable to meet demand.</w:t>
            </w:r>
          </w:p>
          <w:p w:rsidR="00B36F8D" w:rsidRDefault="00B36F8D" w:rsidP="001822C7">
            <w:pPr>
              <w:pStyle w:val="Numbering"/>
            </w:pPr>
            <w:r>
              <w:t>The delivery of household goods and services relies on strong relationships with the community, and a clear understanding of community needs and networks.</w:t>
            </w:r>
          </w:p>
          <w:p w:rsidR="00B36F8D" w:rsidRPr="00FC2643" w:rsidRDefault="00B36F8D" w:rsidP="001822C7">
            <w:pPr>
              <w:pStyle w:val="Numbering"/>
            </w:pPr>
            <w:r w:rsidRPr="00FC2643">
              <w:t>The delivery of household goods and services must take into account the requirements of all community members and groups, including cultural, religious, and dietary requirements.</w:t>
            </w:r>
          </w:p>
          <w:p w:rsidR="00B36F8D" w:rsidRDefault="00B36F8D" w:rsidP="001822C7">
            <w:pPr>
              <w:pStyle w:val="Numbering"/>
            </w:pPr>
            <w:r>
              <w:t>F</w:t>
            </w:r>
            <w:r w:rsidRPr="003A3769">
              <w:t xml:space="preserve">ood that is </w:t>
            </w:r>
            <w:r>
              <w:t xml:space="preserve">provided as part of household goods and services is </w:t>
            </w:r>
            <w:r w:rsidRPr="003A3769">
              <w:t>nutritious and balanced</w:t>
            </w:r>
            <w:r>
              <w:t>,</w:t>
            </w:r>
            <w:r w:rsidRPr="003A3769">
              <w:t xml:space="preserve"> having regard to family makeup</w:t>
            </w:r>
            <w:r>
              <w:t xml:space="preserve"> (including age)</w:t>
            </w:r>
            <w:r w:rsidRPr="003A3769">
              <w:t>.</w:t>
            </w:r>
          </w:p>
          <w:p w:rsidR="00B36F8D" w:rsidRDefault="00B36F8D" w:rsidP="001822C7">
            <w:pPr>
              <w:pStyle w:val="Numbering"/>
            </w:pPr>
            <w:r>
              <w:t>Cooperative and collaborative relationships across welfare services agencies and coordination centre functions (including collaborative planning and agreement on delivery arrangements) are vital for ensuring:</w:t>
            </w:r>
          </w:p>
          <w:p w:rsidR="00B36F8D" w:rsidRDefault="00B36F8D" w:rsidP="001822C7">
            <w:pPr>
              <w:pStyle w:val="Numbering"/>
              <w:numPr>
                <w:ilvl w:val="1"/>
                <w:numId w:val="8"/>
              </w:numPr>
              <w:ind w:left="1327"/>
            </w:pPr>
            <w:r>
              <w:t>minimal disruption to communities</w:t>
            </w:r>
          </w:p>
          <w:p w:rsidR="00B36F8D" w:rsidRDefault="00B36F8D" w:rsidP="001822C7">
            <w:pPr>
              <w:pStyle w:val="Numbering"/>
              <w:numPr>
                <w:ilvl w:val="1"/>
                <w:numId w:val="8"/>
              </w:numPr>
              <w:ind w:left="1327"/>
            </w:pPr>
            <w:proofErr w:type="gramStart"/>
            <w:r>
              <w:t>the</w:t>
            </w:r>
            <w:proofErr w:type="gramEnd"/>
            <w:r>
              <w:t xml:space="preserve"> communities’ needs are met.</w:t>
            </w:r>
          </w:p>
          <w:p w:rsidR="00B36F8D" w:rsidRDefault="00B36F8D" w:rsidP="001822C7">
            <w:pPr>
              <w:pStyle w:val="Numbering"/>
            </w:pPr>
            <w:r>
              <w:t>The provision of basic household goods and services supports community resilience and recovery.</w:t>
            </w:r>
          </w:p>
          <w:p w:rsidR="00B36F8D" w:rsidRPr="003A3769" w:rsidRDefault="00B36F8D" w:rsidP="001822C7">
            <w:pPr>
              <w:pStyle w:val="Numbering"/>
            </w:pPr>
            <w:r>
              <w:t>Encouraging communities to prepare prior to emergencies helps to empower communities to self-respond, and improves community resilience during response and recovery.</w:t>
            </w:r>
          </w:p>
        </w:tc>
      </w:tr>
    </w:tbl>
    <w:p w:rsidR="00B36F8D" w:rsidRDefault="00B36F8D" w:rsidP="00B36F8D"/>
    <w:p w:rsidR="00B36F8D" w:rsidRDefault="00B36F8D" w:rsidP="00B36F8D">
      <w:pPr>
        <w:spacing w:before="0" w:after="0" w:line="240" w:lineRule="auto"/>
      </w:pPr>
      <w:r>
        <w:br w:type="page"/>
      </w:r>
    </w:p>
    <w:p w:rsidR="00B36F8D" w:rsidRPr="003A3769" w:rsidRDefault="00B36F8D" w:rsidP="00B36F8D">
      <w:pPr>
        <w:pStyle w:val="Heading2"/>
        <w:ind w:left="0"/>
      </w:pPr>
      <w:bookmarkStart w:id="17" w:name="_Toc433815309"/>
      <w:bookmarkStart w:id="18" w:name="_Toc434928985"/>
      <w:r w:rsidRPr="003A3769">
        <w:lastRenderedPageBreak/>
        <w:t>Types</w:t>
      </w:r>
      <w:r>
        <w:t xml:space="preserve"> </w:t>
      </w:r>
      <w:r w:rsidRPr="003A3769">
        <w:t xml:space="preserve">of </w:t>
      </w:r>
      <w:r>
        <w:t>basic</w:t>
      </w:r>
      <w:r w:rsidRPr="003A3769">
        <w:t xml:space="preserve"> goods and services</w:t>
      </w:r>
      <w:bookmarkEnd w:id="16"/>
      <w:bookmarkEnd w:id="17"/>
      <w:bookmarkEnd w:id="1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5"/>
      </w:tblGrid>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Goods</w:t>
            </w:r>
          </w:p>
        </w:tc>
        <w:tc>
          <w:tcPr>
            <w:tcW w:w="7705" w:type="dxa"/>
          </w:tcPr>
          <w:p w:rsidR="00B36F8D" w:rsidRPr="003A3769" w:rsidRDefault="00B36F8D" w:rsidP="001822C7">
            <w:r w:rsidRPr="003A3769">
              <w:t>Goods include:</w:t>
            </w:r>
          </w:p>
          <w:p w:rsidR="00B36F8D" w:rsidRPr="003A3769" w:rsidRDefault="00B36F8D" w:rsidP="001822C7">
            <w:pPr>
              <w:pStyle w:val="Bullet"/>
            </w:pPr>
            <w:r w:rsidRPr="003A3769">
              <w:t>water (separate supplies for drinking and washing)</w:t>
            </w:r>
          </w:p>
          <w:p w:rsidR="00B36F8D" w:rsidRPr="003A3769" w:rsidRDefault="00B36F8D" w:rsidP="001822C7">
            <w:pPr>
              <w:pStyle w:val="Bullet"/>
            </w:pPr>
            <w:r w:rsidRPr="003A3769">
              <w:t xml:space="preserve">food and grocery items, including infant food and </w:t>
            </w:r>
            <w:r>
              <w:t>feeding equipment</w:t>
            </w:r>
            <w:r w:rsidRPr="003A3769">
              <w:t xml:space="preserve"> and pet food</w:t>
            </w:r>
          </w:p>
          <w:p w:rsidR="00B36F8D" w:rsidRPr="003A3769" w:rsidRDefault="00B36F8D" w:rsidP="001822C7">
            <w:pPr>
              <w:pStyle w:val="Bullet"/>
            </w:pPr>
            <w:r w:rsidRPr="003A3769">
              <w:t>clothing, including footwear (appropriate to climatic conditions and cultural practices)</w:t>
            </w:r>
          </w:p>
          <w:p w:rsidR="00B36F8D" w:rsidRPr="003A3769" w:rsidRDefault="00B36F8D" w:rsidP="001822C7">
            <w:pPr>
              <w:pStyle w:val="Bullet"/>
            </w:pPr>
            <w:r w:rsidRPr="003A3769">
              <w:t>bedding and blankets</w:t>
            </w:r>
          </w:p>
          <w:p w:rsidR="00B36F8D" w:rsidRPr="003A3769" w:rsidRDefault="00B36F8D" w:rsidP="001822C7">
            <w:pPr>
              <w:pStyle w:val="Bullet"/>
            </w:pPr>
            <w:r w:rsidRPr="003A3769">
              <w:t>cooking and eating utensils</w:t>
            </w:r>
          </w:p>
          <w:p w:rsidR="00B36F8D" w:rsidRPr="003A3769" w:rsidRDefault="00B36F8D" w:rsidP="001822C7">
            <w:pPr>
              <w:pStyle w:val="Bullet"/>
            </w:pPr>
            <w:r w:rsidRPr="003A3769">
              <w:t>fuel (cooking and heating)</w:t>
            </w:r>
          </w:p>
          <w:p w:rsidR="00B36F8D" w:rsidRPr="003A3769" w:rsidRDefault="00B36F8D" w:rsidP="001822C7">
            <w:pPr>
              <w:pStyle w:val="Bullet"/>
            </w:pPr>
            <w:r w:rsidRPr="003A3769">
              <w:t>medication</w:t>
            </w:r>
          </w:p>
          <w:p w:rsidR="00B36F8D" w:rsidRPr="003A3769" w:rsidRDefault="00B36F8D" w:rsidP="001822C7">
            <w:pPr>
              <w:pStyle w:val="Bullet"/>
            </w:pPr>
            <w:r w:rsidRPr="003A3769">
              <w:t>cleaning and sanitary products (</w:t>
            </w:r>
            <w:r>
              <w:t xml:space="preserve">e.g. </w:t>
            </w:r>
            <w:r w:rsidRPr="003A3769">
              <w:t>bathing and laundry soap, disinfectant, menstrual hygiene products, disposable nappies</w:t>
            </w:r>
            <w:r>
              <w:t xml:space="preserve"> </w:t>
            </w:r>
            <w:r w:rsidRPr="003A3769">
              <w:t>for infants</w:t>
            </w:r>
            <w:r>
              <w:t>, incontinence products</w:t>
            </w:r>
            <w:r w:rsidRPr="003A3769">
              <w:t>)</w:t>
            </w:r>
            <w:r>
              <w:t>, and</w:t>
            </w:r>
          </w:p>
          <w:p w:rsidR="00B36F8D" w:rsidRPr="003A3769" w:rsidRDefault="00B36F8D" w:rsidP="001822C7">
            <w:pPr>
              <w:pStyle w:val="Bullet"/>
            </w:pPr>
            <w:proofErr w:type="gramStart"/>
            <w:r w:rsidRPr="003A3769">
              <w:t>equipment</w:t>
            </w:r>
            <w:proofErr w:type="gramEnd"/>
            <w:r w:rsidRPr="003A3769">
              <w:t xml:space="preserve"> or temporary facilities for sanitation (portable toilets or shower units)</w:t>
            </w:r>
            <w:r>
              <w:t>.</w:t>
            </w:r>
          </w:p>
          <w:p w:rsidR="00B36F8D" w:rsidRDefault="00B36F8D" w:rsidP="001822C7">
            <w:r w:rsidRPr="003A3769">
              <w:t>Items to meet personal hygiene needs should be supported by appropriate hygiene promotion activities and information.</w:t>
            </w:r>
          </w:p>
          <w:p w:rsidR="00B36F8D" w:rsidRPr="003A3769" w:rsidRDefault="00B36F8D" w:rsidP="001822C7">
            <w:pPr>
              <w:pStyle w:val="Spacer"/>
            </w:pP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Services</w:t>
            </w:r>
          </w:p>
        </w:tc>
        <w:tc>
          <w:tcPr>
            <w:tcW w:w="7705" w:type="dxa"/>
          </w:tcPr>
          <w:p w:rsidR="00B36F8D" w:rsidRPr="003A3769" w:rsidRDefault="00B36F8D" w:rsidP="001822C7">
            <w:r w:rsidRPr="003A3769">
              <w:t>Services include:</w:t>
            </w:r>
          </w:p>
          <w:p w:rsidR="00B36F8D" w:rsidRPr="003A3769" w:rsidRDefault="00B36F8D" w:rsidP="001822C7">
            <w:pPr>
              <w:pStyle w:val="Bullet"/>
            </w:pPr>
            <w:r w:rsidRPr="003A3769">
              <w:t>procurement</w:t>
            </w:r>
          </w:p>
          <w:p w:rsidR="00B36F8D" w:rsidRPr="003A3769" w:rsidRDefault="00B36F8D" w:rsidP="001822C7">
            <w:pPr>
              <w:pStyle w:val="Bullet"/>
            </w:pPr>
            <w:r w:rsidRPr="003A3769">
              <w:t>distribution</w:t>
            </w:r>
          </w:p>
          <w:p w:rsidR="00B36F8D" w:rsidRPr="003A3769" w:rsidRDefault="00B36F8D" w:rsidP="001822C7">
            <w:pPr>
              <w:pStyle w:val="Bullet"/>
            </w:pPr>
            <w:r w:rsidRPr="003A3769">
              <w:t xml:space="preserve">sanitation: </w:t>
            </w:r>
          </w:p>
          <w:p w:rsidR="00B36F8D" w:rsidRPr="003A3769" w:rsidRDefault="00B36F8D" w:rsidP="001822C7">
            <w:pPr>
              <w:pStyle w:val="Bullet"/>
              <w:numPr>
                <w:ilvl w:val="1"/>
                <w:numId w:val="6"/>
              </w:numPr>
            </w:pPr>
            <w:r w:rsidRPr="003A3769">
              <w:t>maintenance of sanitation units</w:t>
            </w:r>
          </w:p>
          <w:p w:rsidR="00B36F8D" w:rsidRPr="003A3769" w:rsidRDefault="00B36F8D" w:rsidP="001822C7">
            <w:pPr>
              <w:pStyle w:val="Bullet"/>
              <w:numPr>
                <w:ilvl w:val="1"/>
                <w:numId w:val="6"/>
              </w:numPr>
            </w:pPr>
            <w:r w:rsidRPr="003A3769">
              <w:t>disposal of waste (waste water, solid waste), and</w:t>
            </w:r>
          </w:p>
          <w:p w:rsidR="00B36F8D" w:rsidRPr="003A3769" w:rsidRDefault="00B36F8D" w:rsidP="001822C7">
            <w:pPr>
              <w:pStyle w:val="Bullet"/>
              <w:numPr>
                <w:ilvl w:val="1"/>
                <w:numId w:val="6"/>
              </w:numPr>
            </w:pPr>
            <w:proofErr w:type="spellStart"/>
            <w:proofErr w:type="gramStart"/>
            <w:r w:rsidRPr="003A3769">
              <w:t>desludging</w:t>
            </w:r>
            <w:proofErr w:type="spellEnd"/>
            <w:proofErr w:type="gramEnd"/>
            <w:r w:rsidRPr="003A3769">
              <w:t>.</w:t>
            </w:r>
          </w:p>
        </w:tc>
      </w:tr>
    </w:tbl>
    <w:p w:rsidR="00B36F8D" w:rsidRPr="003A3769" w:rsidRDefault="00B36F8D" w:rsidP="00B36F8D"/>
    <w:p w:rsidR="00B36F8D" w:rsidRPr="003A3769" w:rsidRDefault="00B36F8D" w:rsidP="00B36F8D">
      <w:pPr>
        <w:pStyle w:val="Heading2"/>
        <w:ind w:left="0"/>
      </w:pPr>
      <w:bookmarkStart w:id="19" w:name="_Toc418238716"/>
      <w:bookmarkStart w:id="20" w:name="_Toc433815310"/>
      <w:bookmarkStart w:id="21" w:name="_Toc434928986"/>
      <w:r w:rsidRPr="003A3769">
        <w:t>Planning considerations</w:t>
      </w:r>
      <w:bookmarkEnd w:id="19"/>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B36F8D" w:rsidRPr="003A3769" w:rsidTr="001822C7">
        <w:trPr>
          <w:cantSplit/>
        </w:trPr>
        <w:tc>
          <w:tcPr>
            <w:tcW w:w="1928" w:type="dxa"/>
            <w:tcMar>
              <w:right w:w="227" w:type="dxa"/>
            </w:tcMar>
          </w:tcPr>
          <w:p w:rsidR="00B36F8D" w:rsidRPr="003A3769" w:rsidRDefault="001822C7" w:rsidP="001822C7">
            <w:pPr>
              <w:rPr>
                <w:rFonts w:ascii="Arial Narrow" w:hAnsi="Arial Narrow"/>
                <w:b/>
                <w:color w:val="005A9B" w:themeColor="background2"/>
              </w:rPr>
            </w:pPr>
            <w:r w:rsidRPr="003A3769">
              <w:rPr>
                <w:rFonts w:ascii="Arial Narrow" w:hAnsi="Arial Narrow"/>
                <w:b/>
                <w:noProof/>
                <w:color w:val="005A9B" w:themeColor="background2"/>
              </w:rPr>
              <w:drawing>
                <wp:anchor distT="0" distB="0" distL="114300" distR="114300" simplePos="0" relativeHeight="251682816" behindDoc="0" locked="0" layoutInCell="1" allowOverlap="1">
                  <wp:simplePos x="0" y="0"/>
                  <wp:positionH relativeFrom="column">
                    <wp:posOffset>270510</wp:posOffset>
                  </wp:positionH>
                  <wp:positionV relativeFrom="margin">
                    <wp:posOffset>868680</wp:posOffset>
                  </wp:positionV>
                  <wp:extent cx="561340" cy="561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r w:rsidR="00B36F8D" w:rsidRPr="003A3769">
              <w:rPr>
                <w:rFonts w:ascii="Arial Narrow" w:hAnsi="Arial Narrow"/>
                <w:b/>
                <w:color w:val="005A9B" w:themeColor="background2"/>
              </w:rPr>
              <w:t>Key requirements</w:t>
            </w:r>
          </w:p>
        </w:tc>
        <w:tc>
          <w:tcPr>
            <w:tcW w:w="7705" w:type="dxa"/>
          </w:tcPr>
          <w:p w:rsidR="00B36F8D" w:rsidRDefault="00B36F8D" w:rsidP="001822C7">
            <w:r w:rsidRPr="003A3769">
              <w:t xml:space="preserve">This section should be read in conjunction with </w:t>
            </w:r>
            <w:r w:rsidR="00B505C0">
              <w:fldChar w:fldCharType="begin"/>
            </w:r>
            <w:r w:rsidR="001F04AB">
              <w:instrText xml:space="preserve"> REF _Ref434306428 \n \h </w:instrText>
            </w:r>
            <w:r w:rsidR="00B505C0">
              <w:fldChar w:fldCharType="separate"/>
            </w:r>
            <w:r w:rsidR="00442C9C">
              <w:t xml:space="preserve">Appendix </w:t>
            </w:r>
            <w:proofErr w:type="gramStart"/>
            <w:r w:rsidR="00442C9C">
              <w:t>A</w:t>
            </w:r>
            <w:proofErr w:type="gramEnd"/>
            <w:r w:rsidR="00B505C0">
              <w:fldChar w:fldCharType="end"/>
            </w:r>
            <w:r w:rsidR="001F04AB">
              <w:t xml:space="preserve"> </w:t>
            </w:r>
            <w:fldSimple w:instr=" REF _Ref434306429 \h  \* MERGEFORMAT ">
              <w:r w:rsidR="00442C9C" w:rsidRPr="00442C9C">
                <w:rPr>
                  <w:i/>
                  <w:color w:val="005A9B" w:themeColor="background2"/>
                  <w:u w:val="single"/>
                </w:rPr>
                <w:t>Information applicable to all welfare services</w:t>
              </w:r>
            </w:fldSimple>
            <w:r w:rsidR="001F04AB">
              <w:t xml:space="preserve"> on page </w:t>
            </w:r>
            <w:r w:rsidR="00B505C0">
              <w:fldChar w:fldCharType="begin"/>
            </w:r>
            <w:r w:rsidR="001F04AB">
              <w:instrText xml:space="preserve"> PAGEREF _Ref434306431 \h </w:instrText>
            </w:r>
            <w:r w:rsidR="00B505C0">
              <w:fldChar w:fldCharType="separate"/>
            </w:r>
            <w:r w:rsidR="00442C9C">
              <w:rPr>
                <w:noProof/>
              </w:rPr>
              <w:t>12</w:t>
            </w:r>
            <w:r w:rsidR="00B505C0">
              <w:fldChar w:fldCharType="end"/>
            </w:r>
            <w:r w:rsidR="001F04AB">
              <w:t xml:space="preserve"> </w:t>
            </w:r>
            <w:r w:rsidRPr="003A3769">
              <w:t>for information on key requirements to be considered when planning for household goods and services</w:t>
            </w:r>
            <w:r>
              <w:t>, including fundamental rights and humanitarian care</w:t>
            </w:r>
            <w:r w:rsidRPr="003A3769">
              <w:t>.</w:t>
            </w:r>
            <w:r>
              <w:t xml:space="preserve"> </w:t>
            </w:r>
          </w:p>
          <w:p w:rsidR="001822C7" w:rsidRDefault="001822C7" w:rsidP="001822C7">
            <w:r>
              <w:t xml:space="preserve">Refer to the following sections of the </w:t>
            </w:r>
            <w:r w:rsidRPr="001822C7">
              <w:rPr>
                <w:i/>
              </w:rPr>
              <w:t>Welfare Services in an Emergency Director’s Guideline [DGL 11/15]</w:t>
            </w:r>
            <w:r>
              <w:t xml:space="preserve"> (available at </w:t>
            </w:r>
            <w:hyperlink r:id="rId20" w:history="1">
              <w:r w:rsidRPr="00757868">
                <w:rPr>
                  <w:rStyle w:val="Hyperlink"/>
                </w:rPr>
                <w:t>www.civildefence.govt.nz</w:t>
              </w:r>
            </w:hyperlink>
            <w:r>
              <w:t>):</w:t>
            </w:r>
          </w:p>
          <w:p w:rsidR="00B36F8D" w:rsidRDefault="001822C7" w:rsidP="001822C7">
            <w:pPr>
              <w:pStyle w:val="Bullet"/>
            </w:pPr>
            <w:r>
              <w:t xml:space="preserve">Part I Appendix H </w:t>
            </w:r>
            <w:r w:rsidRPr="001822C7">
              <w:rPr>
                <w:i/>
              </w:rPr>
              <w:t>Accessibility</w:t>
            </w:r>
          </w:p>
          <w:p w:rsidR="001822C7" w:rsidRPr="003A3769" w:rsidRDefault="001822C7" w:rsidP="001822C7">
            <w:pPr>
              <w:pStyle w:val="Bullet"/>
            </w:pPr>
            <w:r>
              <w:t xml:space="preserve">Part II Section 7 </w:t>
            </w:r>
            <w:r w:rsidRPr="002915BD">
              <w:rPr>
                <w:i/>
              </w:rPr>
              <w:t>Needs assessment</w:t>
            </w:r>
            <w:r>
              <w:t>.</w:t>
            </w:r>
          </w:p>
        </w:tc>
      </w:tr>
      <w:tr w:rsidR="00B36F8D" w:rsidRPr="003A3769" w:rsidTr="001822C7">
        <w:trPr>
          <w:cantSplit/>
        </w:trPr>
        <w:tc>
          <w:tcPr>
            <w:tcW w:w="1928"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noProof/>
                <w:color w:val="005A9B" w:themeColor="background2"/>
              </w:rPr>
              <w:lastRenderedPageBreak/>
              <w:drawing>
                <wp:anchor distT="0" distB="0" distL="114300" distR="114300" simplePos="0" relativeHeight="251678720" behindDoc="0" locked="0" layoutInCell="1" allowOverlap="1">
                  <wp:simplePos x="0" y="0"/>
                  <wp:positionH relativeFrom="column">
                    <wp:align>center</wp:align>
                  </wp:positionH>
                  <wp:positionV relativeFrom="margin">
                    <wp:posOffset>1925955</wp:posOffset>
                  </wp:positionV>
                  <wp:extent cx="561600" cy="5616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rFonts w:ascii="Arial Narrow" w:hAnsi="Arial Narrow"/>
                <w:b/>
                <w:color w:val="005A9B" w:themeColor="background2"/>
              </w:rPr>
              <w:t>Donated goods</w:t>
            </w:r>
          </w:p>
        </w:tc>
        <w:tc>
          <w:tcPr>
            <w:tcW w:w="7705" w:type="dxa"/>
          </w:tcPr>
          <w:p w:rsidR="00B36F8D" w:rsidRPr="003A3769" w:rsidRDefault="00B36F8D" w:rsidP="001822C7">
            <w:r w:rsidRPr="003A3769">
              <w:t>Donated goods are not considered part of the household goods and services sub function. Donations of goods are discouraged in favour of financial donations. However, donation of services (such as delivery, trade services</w:t>
            </w:r>
            <w:r>
              <w:t>,</w:t>
            </w:r>
            <w:r w:rsidRPr="003A3769">
              <w:t xml:space="preserve"> and access to facilities) may be of benefit to the response.</w:t>
            </w:r>
          </w:p>
          <w:p w:rsidR="00B36F8D" w:rsidRPr="003A3769" w:rsidRDefault="00B36F8D" w:rsidP="001822C7">
            <w:r w:rsidRPr="00142E15">
              <w:t>The management of unsolicited donated goods can interfere with the response effort, waste time and resources, create negative public relations</w:t>
            </w:r>
            <w:r>
              <w:t>,</w:t>
            </w:r>
            <w:r w:rsidRPr="00142E15">
              <w:t xml:space="preserve"> and hinder longer-term recovery efforts.</w:t>
            </w:r>
          </w:p>
          <w:p w:rsidR="00B36F8D" w:rsidRPr="003A3769" w:rsidRDefault="00B36F8D" w:rsidP="001822C7">
            <w:r>
              <w:t>CDEM Groups/</w:t>
            </w:r>
            <w:r w:rsidRPr="003A3769">
              <w:t>local authorities should have arrangements in place, including partnerships with other agencies, to manage any donated goods.</w:t>
            </w:r>
          </w:p>
          <w:p w:rsidR="00B36F8D" w:rsidRPr="003A3769" w:rsidRDefault="00B36F8D" w:rsidP="001822C7">
            <w:pPr>
              <w:rPr>
                <w:i/>
              </w:rPr>
            </w:pPr>
            <w:r>
              <w:t>Refer</w:t>
            </w:r>
            <w:r w:rsidRPr="003A3769">
              <w:t xml:space="preserve"> to</w:t>
            </w:r>
            <w:r>
              <w:t xml:space="preserve"> the</w:t>
            </w:r>
            <w:r w:rsidRPr="003A3769">
              <w:t xml:space="preserve"> </w:t>
            </w:r>
            <w:r w:rsidRPr="003A3769">
              <w:rPr>
                <w:i/>
              </w:rPr>
              <w:t>Donated Goods Management Planning: Best Practice Guide</w:t>
            </w:r>
            <w:r w:rsidRPr="003A3769">
              <w:t xml:space="preserve"> [BPG</w:t>
            </w:r>
            <w:r>
              <w:t>2/06] to assist CDEM Groups/</w:t>
            </w:r>
            <w:r w:rsidRPr="003A3769">
              <w:t>local authorities to plan for the management of donated goods after an emergency.</w:t>
            </w:r>
          </w:p>
          <w:p w:rsidR="00B36F8D" w:rsidRPr="003A3769" w:rsidRDefault="00B36F8D" w:rsidP="001822C7">
            <w:pPr>
              <w:pStyle w:val="Tinyline"/>
            </w:pPr>
          </w:p>
        </w:tc>
      </w:tr>
      <w:tr w:rsidR="00B36F8D" w:rsidRPr="003A3769" w:rsidTr="001822C7">
        <w:trPr>
          <w:cantSplit/>
        </w:trPr>
        <w:tc>
          <w:tcPr>
            <w:tcW w:w="1928" w:type="dxa"/>
            <w:tcMar>
              <w:right w:w="227" w:type="dxa"/>
            </w:tcMar>
          </w:tcPr>
          <w:p w:rsidR="00B36F8D" w:rsidRPr="003A3769" w:rsidRDefault="001822C7" w:rsidP="001822C7">
            <w:pPr>
              <w:rPr>
                <w:rFonts w:ascii="Arial Narrow" w:hAnsi="Arial Narrow"/>
                <w:b/>
                <w:noProof/>
                <w:color w:val="005A9B" w:themeColor="background2"/>
              </w:rPr>
            </w:pPr>
            <w:r w:rsidRPr="003A3769">
              <w:rPr>
                <w:rFonts w:ascii="Arial Narrow" w:hAnsi="Arial Narrow"/>
                <w:b/>
                <w:noProof/>
                <w:color w:val="005A9B" w:themeColor="background2"/>
              </w:rPr>
              <w:drawing>
                <wp:anchor distT="0" distB="0" distL="114300" distR="114300" simplePos="0" relativeHeight="251684864" behindDoc="0" locked="0" layoutInCell="1" allowOverlap="1">
                  <wp:simplePos x="0" y="0"/>
                  <wp:positionH relativeFrom="column">
                    <wp:align>center</wp:align>
                  </wp:positionH>
                  <wp:positionV relativeFrom="margin">
                    <wp:posOffset>1691640</wp:posOffset>
                  </wp:positionV>
                  <wp:extent cx="561600" cy="561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00B36F8D">
              <w:rPr>
                <w:rFonts w:ascii="Arial Narrow" w:hAnsi="Arial Narrow"/>
                <w:b/>
                <w:noProof/>
                <w:color w:val="005A9B" w:themeColor="background2"/>
              </w:rPr>
              <w:t xml:space="preserve">Needs assessment </w:t>
            </w:r>
          </w:p>
        </w:tc>
        <w:tc>
          <w:tcPr>
            <w:tcW w:w="7705" w:type="dxa"/>
          </w:tcPr>
          <w:p w:rsidR="00B36F8D" w:rsidRDefault="00B36F8D" w:rsidP="001822C7">
            <w:r>
              <w:t>Through the needs assessment sub-function, the Welfare function is responsible for assessing the need for household goods and services, and advising the Logistics function and lifeline utilities coordination of:</w:t>
            </w:r>
          </w:p>
          <w:p w:rsidR="00B36F8D" w:rsidRDefault="00B36F8D" w:rsidP="001822C7">
            <w:pPr>
              <w:pStyle w:val="Bullet"/>
            </w:pPr>
            <w:r>
              <w:t>the goods and services required</w:t>
            </w:r>
          </w:p>
          <w:p w:rsidR="00B36F8D" w:rsidRDefault="00B36F8D" w:rsidP="001822C7">
            <w:pPr>
              <w:pStyle w:val="Bullet"/>
            </w:pPr>
            <w:r>
              <w:t>the quantities required</w:t>
            </w:r>
          </w:p>
          <w:p w:rsidR="00B36F8D" w:rsidRDefault="00B36F8D" w:rsidP="001822C7">
            <w:pPr>
              <w:pStyle w:val="Bullet"/>
            </w:pPr>
            <w:r>
              <w:t>the location(</w:t>
            </w:r>
            <w:proofErr w:type="spellStart"/>
            <w:r>
              <w:t>s</w:t>
            </w:r>
            <w:proofErr w:type="spellEnd"/>
            <w:r>
              <w:t>) for delivery, and</w:t>
            </w:r>
          </w:p>
          <w:p w:rsidR="00B36F8D" w:rsidRDefault="00B36F8D" w:rsidP="001822C7">
            <w:pPr>
              <w:pStyle w:val="Bullet"/>
            </w:pPr>
            <w:proofErr w:type="gramStart"/>
            <w:r>
              <w:t>any</w:t>
            </w:r>
            <w:proofErr w:type="gramEnd"/>
            <w:r>
              <w:t xml:space="preserve"> special requirements.</w:t>
            </w:r>
          </w:p>
          <w:p w:rsidR="00B36F8D" w:rsidRDefault="001822C7" w:rsidP="001822C7">
            <w:r>
              <w:t xml:space="preserve">Refer to Part II Section 7 </w:t>
            </w:r>
            <w:r w:rsidRPr="001822C7">
              <w:rPr>
                <w:i/>
              </w:rPr>
              <w:t>Needs assessment</w:t>
            </w:r>
            <w:r>
              <w:t xml:space="preserve"> of the </w:t>
            </w:r>
            <w:r w:rsidRPr="001822C7">
              <w:rPr>
                <w:i/>
              </w:rPr>
              <w:t>Welfare Services in an Emergency Director’s Guideline [DGL 11/15]</w:t>
            </w:r>
            <w:r>
              <w:t xml:space="preserve"> available at </w:t>
            </w:r>
            <w:hyperlink r:id="rId21" w:history="1">
              <w:r w:rsidRPr="006E35F5">
                <w:rPr>
                  <w:rStyle w:val="Hyperlink"/>
                </w:rPr>
                <w:t>www.civildefence.govt.nz</w:t>
              </w:r>
            </w:hyperlink>
            <w:r>
              <w:t>.</w:t>
            </w:r>
          </w:p>
          <w:p w:rsidR="00B36F8D" w:rsidRPr="003A3769" w:rsidRDefault="00B36F8D" w:rsidP="001822C7">
            <w:pPr>
              <w:pStyle w:val="Tinyline"/>
            </w:pPr>
          </w:p>
        </w:tc>
      </w:tr>
      <w:tr w:rsidR="00B36F8D" w:rsidRPr="003A3769" w:rsidTr="001822C7">
        <w:trPr>
          <w:cantSplit/>
        </w:trPr>
        <w:tc>
          <w:tcPr>
            <w:tcW w:w="1928"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noProof/>
                <w:color w:val="005A9B" w:themeColor="background2"/>
              </w:rPr>
              <w:drawing>
                <wp:anchor distT="0" distB="0" distL="114300" distR="114300" simplePos="0" relativeHeight="251674624" behindDoc="0" locked="0" layoutInCell="1" allowOverlap="1">
                  <wp:simplePos x="0" y="0"/>
                  <wp:positionH relativeFrom="column">
                    <wp:align>center</wp:align>
                  </wp:positionH>
                  <wp:positionV relativeFrom="margin">
                    <wp:posOffset>1969135</wp:posOffset>
                  </wp:positionV>
                  <wp:extent cx="561600" cy="561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rFonts w:ascii="Arial Narrow" w:hAnsi="Arial Narrow"/>
                <w:b/>
                <w:color w:val="005A9B" w:themeColor="background2"/>
              </w:rPr>
              <w:t>Logistics – procurement, transport and distribution</w:t>
            </w:r>
          </w:p>
        </w:tc>
        <w:tc>
          <w:tcPr>
            <w:tcW w:w="7705" w:type="dxa"/>
          </w:tcPr>
          <w:p w:rsidR="00B36F8D" w:rsidRPr="003A3769" w:rsidRDefault="00B36F8D" w:rsidP="001822C7">
            <w:r w:rsidRPr="00B81C12">
              <w:t xml:space="preserve">The procurement and distribution of household goods and services should be planned by the Logistics function in the </w:t>
            </w:r>
            <w:r>
              <w:t>coordination centre</w:t>
            </w:r>
            <w:r w:rsidRPr="00B81C12">
              <w:t xml:space="preserve"> in conjunction with lifeline utilities coordi</w:t>
            </w:r>
            <w:r>
              <w:t>nation and the Welfare function</w:t>
            </w:r>
            <w:r w:rsidRPr="003A3769">
              <w:t>.</w:t>
            </w:r>
          </w:p>
          <w:p w:rsidR="00B36F8D" w:rsidRPr="003A3769" w:rsidRDefault="00B36F8D" w:rsidP="001822C7">
            <w:r w:rsidRPr="003A3769">
              <w:t>Procurement of items, transport</w:t>
            </w:r>
            <w:r>
              <w:t>,</w:t>
            </w:r>
            <w:r w:rsidRPr="003A3769">
              <w:t xml:space="preserve"> and distribution should be undertaken using the logistics arrangements of the CDEM Group. </w:t>
            </w:r>
          </w:p>
          <w:p w:rsidR="00B36F8D" w:rsidRDefault="00B36F8D" w:rsidP="001822C7">
            <w:r w:rsidRPr="003A3769">
              <w:t>Local providers should be used in the first instance to support local businesses, before considering outsourcing.</w:t>
            </w:r>
          </w:p>
          <w:p w:rsidR="00B36F8D" w:rsidRPr="003A3769" w:rsidRDefault="00B36F8D" w:rsidP="001822C7">
            <w:r w:rsidRPr="00B81C12">
              <w:t xml:space="preserve">Provision of some household goods and services will be </w:t>
            </w:r>
            <w:r>
              <w:t>via</w:t>
            </w:r>
            <w:r w:rsidRPr="00B81C12">
              <w:t xml:space="preserve"> the Welfare function. This will be determined during the task planning process.</w:t>
            </w:r>
          </w:p>
          <w:p w:rsidR="00B36F8D" w:rsidRPr="003A3769" w:rsidRDefault="00B36F8D" w:rsidP="001822C7">
            <w:r>
              <w:t>Refer to</w:t>
            </w:r>
            <w:r w:rsidRPr="003A3769">
              <w:t xml:space="preserve"> the </w:t>
            </w:r>
            <w:r w:rsidRPr="003A3769">
              <w:rPr>
                <w:i/>
                <w:iCs/>
              </w:rPr>
              <w:t>Logistics in CDEM Director’s Guid</w:t>
            </w:r>
            <w:r>
              <w:rPr>
                <w:i/>
                <w:iCs/>
              </w:rPr>
              <w:t>eline for CDEM Groups [DGL 17/15</w:t>
            </w:r>
            <w:r w:rsidRPr="003A3769">
              <w:rPr>
                <w:i/>
                <w:iCs/>
              </w:rPr>
              <w:t>]</w:t>
            </w:r>
            <w:r w:rsidRPr="003A3769">
              <w:t xml:space="preserve"> for more information on procurement and transport.</w:t>
            </w:r>
            <w:r>
              <w:t xml:space="preserve"> This is available at </w:t>
            </w:r>
            <w:hyperlink r:id="rId22" w:history="1">
              <w:r w:rsidRPr="00202F88">
                <w:rPr>
                  <w:rStyle w:val="Hyperlink"/>
                </w:rPr>
                <w:t>www.civildefence.govt.nz</w:t>
              </w:r>
            </w:hyperlink>
            <w:r>
              <w:t xml:space="preserve"> (search for ‘logistics in CDEM DGL’).</w:t>
            </w:r>
          </w:p>
          <w:p w:rsidR="00B36F8D" w:rsidRPr="003A3769" w:rsidRDefault="00B36F8D" w:rsidP="001822C7">
            <w:pPr>
              <w:pStyle w:val="Tinyline"/>
            </w:pPr>
          </w:p>
        </w:tc>
      </w:tr>
      <w:tr w:rsidR="00B36F8D" w:rsidRPr="003A3769" w:rsidTr="001822C7">
        <w:trPr>
          <w:cantSplit/>
          <w:trHeight w:val="1277"/>
        </w:trPr>
        <w:tc>
          <w:tcPr>
            <w:tcW w:w="1928"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noProof/>
                <w:color w:val="005A9B" w:themeColor="background2"/>
              </w:rPr>
              <w:lastRenderedPageBreak/>
              <w:drawing>
                <wp:anchor distT="0" distB="0" distL="114300" distR="114300" simplePos="0" relativeHeight="251675648" behindDoc="0" locked="0" layoutInCell="1" allowOverlap="1">
                  <wp:simplePos x="0" y="0"/>
                  <wp:positionH relativeFrom="column">
                    <wp:align>center</wp:align>
                  </wp:positionH>
                  <wp:positionV relativeFrom="margin">
                    <wp:posOffset>923925</wp:posOffset>
                  </wp:positionV>
                  <wp:extent cx="561600" cy="5616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rFonts w:ascii="Arial Narrow" w:hAnsi="Arial Narrow"/>
                <w:b/>
                <w:color w:val="005A9B" w:themeColor="background2"/>
              </w:rPr>
              <w:t>Financ</w:t>
            </w:r>
            <w:r>
              <w:rPr>
                <w:rFonts w:ascii="Arial Narrow" w:hAnsi="Arial Narrow"/>
                <w:b/>
                <w:color w:val="005A9B" w:themeColor="background2"/>
              </w:rPr>
              <w:t>ial</w:t>
            </w:r>
          </w:p>
        </w:tc>
        <w:tc>
          <w:tcPr>
            <w:tcW w:w="7705" w:type="dxa"/>
          </w:tcPr>
          <w:p w:rsidR="00B36F8D" w:rsidRPr="003A3769" w:rsidRDefault="00B36F8D" w:rsidP="001822C7">
            <w:r w:rsidRPr="003A3769">
              <w:t>Many of the items included as household goods and services are likely to be recoverable under the reimbursement process for response costs. An accurate record of what was spent and where support was delivered will be required to substantiate the claim.</w:t>
            </w:r>
          </w:p>
          <w:p w:rsidR="00B36F8D" w:rsidRPr="003A3769" w:rsidRDefault="00B36F8D" w:rsidP="001822C7">
            <w:r w:rsidRPr="003A3769">
              <w:t xml:space="preserve">Costs for the care of displaced people may be recoverable by local authorities. Refer to the </w:t>
            </w:r>
            <w:r w:rsidRPr="003A3769">
              <w:rPr>
                <w:i/>
              </w:rPr>
              <w:t>National CDEM Plan 2015</w:t>
            </w:r>
            <w:r w:rsidRPr="003A3769">
              <w:t xml:space="preserve"> and the </w:t>
            </w:r>
            <w:r w:rsidRPr="003A3769">
              <w:rPr>
                <w:i/>
                <w:iCs/>
              </w:rPr>
              <w:t>Logistics in CDEM Director’s Guid</w:t>
            </w:r>
            <w:r>
              <w:rPr>
                <w:i/>
                <w:iCs/>
              </w:rPr>
              <w:t>eline for CDEM Groups [DGL 17/15</w:t>
            </w:r>
            <w:r w:rsidRPr="003A3769">
              <w:rPr>
                <w:i/>
                <w:iCs/>
              </w:rPr>
              <w:t>]</w:t>
            </w:r>
            <w:r w:rsidRPr="003A3769">
              <w:t xml:space="preserve"> regarding the reimbursement process and a description of appropriate costs.</w:t>
            </w:r>
          </w:p>
        </w:tc>
      </w:tr>
      <w:tr w:rsidR="00B36F8D" w:rsidRPr="003A3769" w:rsidTr="001822C7">
        <w:trPr>
          <w:cantSplit/>
        </w:trPr>
        <w:tc>
          <w:tcPr>
            <w:tcW w:w="1928"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Food safety</w:t>
            </w:r>
          </w:p>
          <w:p w:rsidR="00B36F8D" w:rsidRPr="003A3769" w:rsidRDefault="00B36F8D" w:rsidP="001822C7">
            <w:pPr>
              <w:rPr>
                <w:rFonts w:ascii="Arial Narrow" w:hAnsi="Arial Narrow"/>
                <w:b/>
                <w:color w:val="005A9B" w:themeColor="background2"/>
              </w:rPr>
            </w:pPr>
            <w:r w:rsidRPr="003A3769">
              <w:rPr>
                <w:rFonts w:ascii="Arial Narrow" w:hAnsi="Arial Narrow"/>
                <w:b/>
                <w:noProof/>
                <w:color w:val="005A9B" w:themeColor="background2"/>
              </w:rPr>
              <w:drawing>
                <wp:anchor distT="0" distB="0" distL="114300" distR="114300" simplePos="0" relativeHeight="251676672" behindDoc="0" locked="0" layoutInCell="1" allowOverlap="1">
                  <wp:simplePos x="0" y="0"/>
                  <wp:positionH relativeFrom="column">
                    <wp:align>center</wp:align>
                  </wp:positionH>
                  <wp:positionV relativeFrom="margin">
                    <wp:posOffset>1734185</wp:posOffset>
                  </wp:positionV>
                  <wp:extent cx="561600" cy="5616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5" w:type="dxa"/>
          </w:tcPr>
          <w:p w:rsidR="00B36F8D" w:rsidRPr="003A3769" w:rsidRDefault="00B36F8D" w:rsidP="001822C7">
            <w:r>
              <w:t xml:space="preserve">In an </w:t>
            </w:r>
            <w:r w:rsidRPr="003A3769">
              <w:t xml:space="preserve">emergency it is important that people keep their food safe from contamination to avoid becoming ill. </w:t>
            </w:r>
          </w:p>
          <w:p w:rsidR="00B36F8D" w:rsidRPr="003A3769" w:rsidRDefault="00B36F8D" w:rsidP="001822C7">
            <w:r w:rsidRPr="003A3769">
              <w:t>Normal household services and facilities such as water supply, waste disposal</w:t>
            </w:r>
            <w:r>
              <w:t>,</w:t>
            </w:r>
            <w:r w:rsidRPr="003A3769">
              <w:t xml:space="preserve"> and refrigeration may break down </w:t>
            </w:r>
            <w:r>
              <w:t>after an emergency, and may pose a health risk.</w:t>
            </w:r>
            <w:r w:rsidRPr="003A3769">
              <w:t xml:space="preserve"> Food and water are easily contaminated and loss of electricity means </w:t>
            </w:r>
            <w:r>
              <w:t>food may also spoil quickly.</w:t>
            </w:r>
            <w:r w:rsidRPr="003A3769">
              <w:t xml:space="preserve"> </w:t>
            </w:r>
          </w:p>
          <w:p w:rsidR="00B36F8D" w:rsidRDefault="00B36F8D" w:rsidP="001822C7">
            <w:r w:rsidRPr="00841148">
              <w:t xml:space="preserve">Information on food safety will, in the first instance, come from local authorities and MPI during an emergency. Information on water safety in the first instance will come from local authorities and </w:t>
            </w:r>
            <w:proofErr w:type="spellStart"/>
            <w:r>
              <w:t>PHUs</w:t>
            </w:r>
            <w:proofErr w:type="spellEnd"/>
            <w:r w:rsidRPr="00841148">
              <w:t>.</w:t>
            </w:r>
          </w:p>
          <w:p w:rsidR="00B36F8D" w:rsidRPr="003A3769" w:rsidRDefault="00B36F8D" w:rsidP="001822C7">
            <w:r w:rsidRPr="003A3769">
              <w:t xml:space="preserve">More information is available on the Ministry of Primary Industries’ website: </w:t>
            </w:r>
            <w:hyperlink r:id="rId23" w:history="1">
              <w:r w:rsidRPr="003A3769">
                <w:rPr>
                  <w:rStyle w:val="Hyperlink"/>
                </w:rPr>
                <w:t>www.mpi.govt.nz</w:t>
              </w:r>
            </w:hyperlink>
            <w:r w:rsidRPr="003A3769">
              <w:t xml:space="preserve">. </w:t>
            </w:r>
          </w:p>
          <w:p w:rsidR="00B36F8D" w:rsidRPr="003A3769" w:rsidRDefault="00B36F8D" w:rsidP="001822C7">
            <w:pPr>
              <w:pStyle w:val="Spacer"/>
            </w:pPr>
          </w:p>
        </w:tc>
      </w:tr>
      <w:tr w:rsidR="00B36F8D" w:rsidRPr="003A3769" w:rsidTr="001822C7">
        <w:trPr>
          <w:cantSplit/>
        </w:trPr>
        <w:tc>
          <w:tcPr>
            <w:tcW w:w="1928"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noProof/>
                <w:color w:val="005A9B" w:themeColor="background2"/>
              </w:rPr>
              <w:drawing>
                <wp:anchor distT="0" distB="0" distL="114300" distR="114300" simplePos="0" relativeHeight="251677696" behindDoc="0" locked="0" layoutInCell="1" allowOverlap="1">
                  <wp:simplePos x="0" y="0"/>
                  <wp:positionH relativeFrom="column">
                    <wp:align>center</wp:align>
                  </wp:positionH>
                  <wp:positionV relativeFrom="margin">
                    <wp:posOffset>3523615</wp:posOffset>
                  </wp:positionV>
                  <wp:extent cx="561600" cy="5616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rFonts w:ascii="Arial Narrow" w:hAnsi="Arial Narrow"/>
                <w:b/>
                <w:color w:val="005A9B" w:themeColor="background2"/>
              </w:rPr>
              <w:t>Infant feeding in an emergency</w:t>
            </w:r>
          </w:p>
        </w:tc>
        <w:tc>
          <w:tcPr>
            <w:tcW w:w="7705" w:type="dxa"/>
          </w:tcPr>
          <w:p w:rsidR="00B36F8D" w:rsidRPr="003A3769" w:rsidRDefault="00B36F8D" w:rsidP="001822C7">
            <w:pPr>
              <w:rPr>
                <w:rFonts w:cs="Arial"/>
              </w:rPr>
            </w:pPr>
            <w:r w:rsidRPr="003A3769">
              <w:t>Where parents and caregivers do not have their own supplies, CDEM Groups</w:t>
            </w:r>
            <w:r>
              <w:t>/local authorities</w:t>
            </w:r>
            <w:r w:rsidRPr="003A3769">
              <w:t xml:space="preserve"> are responsible </w:t>
            </w:r>
            <w:r w:rsidRPr="003A3769">
              <w:rPr>
                <w:rFonts w:cs="Arial"/>
              </w:rPr>
              <w:t xml:space="preserve">for providing the community’s infant feeding supplies during an emergency. </w:t>
            </w:r>
            <w:r>
              <w:t>DHB</w:t>
            </w:r>
            <w:r w:rsidRPr="003A3769">
              <w:t xml:space="preserve"> emergency management staff have a key role in ensuring </w:t>
            </w:r>
            <w:r w:rsidRPr="003A3769">
              <w:rPr>
                <w:rFonts w:cs="Arial"/>
              </w:rPr>
              <w:t>infant feeding needs are addressed in CDEM Groups’ planning.</w:t>
            </w:r>
          </w:p>
          <w:p w:rsidR="00B36F8D" w:rsidRPr="003A3769" w:rsidRDefault="00B36F8D" w:rsidP="001822C7">
            <w:r w:rsidRPr="003A3769">
              <w:t xml:space="preserve">The Ministry of Health’s </w:t>
            </w:r>
            <w:r w:rsidRPr="003A3769">
              <w:rPr>
                <w:i/>
              </w:rPr>
              <w:t>Guide for DHB Emergency Management Staff:</w:t>
            </w:r>
            <w:r w:rsidRPr="003A3769">
              <w:t xml:space="preserve"> </w:t>
            </w:r>
            <w:r w:rsidRPr="003A3769">
              <w:rPr>
                <w:i/>
              </w:rPr>
              <w:t xml:space="preserve">Infant Feeding in an Emergency (for babies aged 0-12 months) </w:t>
            </w:r>
            <w:r w:rsidRPr="003A3769">
              <w:t>provides DHB emergency management staff with information to assist in planning and responding to infant feeding needs in an emergency. This guide should be read in conjunction with the Ministry of Health’s related documents:</w:t>
            </w:r>
          </w:p>
          <w:p w:rsidR="00B36F8D" w:rsidRPr="003A3769" w:rsidRDefault="00B36F8D" w:rsidP="001822C7">
            <w:pPr>
              <w:pStyle w:val="Bullet"/>
              <w:rPr>
                <w:i/>
              </w:rPr>
            </w:pPr>
            <w:r w:rsidRPr="003A3769">
              <w:rPr>
                <w:i/>
              </w:rPr>
              <w:t xml:space="preserve">Position Statement: Infant Feeding in an Emergency (for babies aged 0-12 months)  </w:t>
            </w:r>
          </w:p>
          <w:p w:rsidR="00B36F8D" w:rsidRPr="003A3769" w:rsidRDefault="00B36F8D" w:rsidP="001822C7">
            <w:pPr>
              <w:pStyle w:val="Bullet"/>
              <w:rPr>
                <w:i/>
              </w:rPr>
            </w:pPr>
            <w:r w:rsidRPr="003A3769">
              <w:rPr>
                <w:i/>
              </w:rPr>
              <w:t>Roles and Responsibilities: Infant Feeding in an Emergency (for babies aged 0-12 months)</w:t>
            </w:r>
          </w:p>
          <w:p w:rsidR="00B36F8D" w:rsidRPr="003A3769" w:rsidRDefault="00B36F8D" w:rsidP="001822C7">
            <w:pPr>
              <w:pStyle w:val="Bullet"/>
              <w:rPr>
                <w:i/>
              </w:rPr>
            </w:pPr>
            <w:r w:rsidRPr="003A3769">
              <w:rPr>
                <w:i/>
              </w:rPr>
              <w:t>Consumer resource: Feeding your Baby in an Emergency (for babies aged 0-12 months)</w:t>
            </w:r>
          </w:p>
          <w:p w:rsidR="00B36F8D" w:rsidRPr="003A3769" w:rsidRDefault="00B36F8D" w:rsidP="001822C7">
            <w:pPr>
              <w:pStyle w:val="Bullet"/>
              <w:rPr>
                <w:i/>
              </w:rPr>
            </w:pPr>
            <w:r w:rsidRPr="003A3769">
              <w:rPr>
                <w:i/>
              </w:rPr>
              <w:t>National Health Emergency Plan.</w:t>
            </w:r>
          </w:p>
          <w:p w:rsidR="00B36F8D" w:rsidRPr="003A3769" w:rsidRDefault="00B36F8D" w:rsidP="001822C7">
            <w:r w:rsidRPr="003A3769">
              <w:t xml:space="preserve">These </w:t>
            </w:r>
            <w:r w:rsidRPr="00F07B22">
              <w:t>documents are available</w:t>
            </w:r>
            <w:r w:rsidRPr="003A3769">
              <w:t xml:space="preserve"> on the Ministry of Health website </w:t>
            </w:r>
            <w:hyperlink r:id="rId24" w:history="1">
              <w:r w:rsidRPr="003A3769">
                <w:rPr>
                  <w:color w:val="005A9B" w:themeColor="background2"/>
                  <w:u w:val="single"/>
                </w:rPr>
                <w:t>www.health.govt.nz</w:t>
              </w:r>
            </w:hyperlink>
            <w:r w:rsidRPr="003A3769">
              <w:t>.</w:t>
            </w:r>
          </w:p>
          <w:p w:rsidR="00B36F8D" w:rsidRPr="003A3769" w:rsidRDefault="00B36F8D" w:rsidP="001822C7">
            <w:pPr>
              <w:pStyle w:val="Spacer"/>
            </w:pPr>
          </w:p>
        </w:tc>
      </w:tr>
      <w:tr w:rsidR="00B36F8D" w:rsidRPr="003A3769" w:rsidTr="001822C7">
        <w:trPr>
          <w:cantSplit/>
        </w:trPr>
        <w:tc>
          <w:tcPr>
            <w:tcW w:w="1928"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lastRenderedPageBreak/>
              <w:t>Health considerations</w:t>
            </w:r>
          </w:p>
        </w:tc>
        <w:tc>
          <w:tcPr>
            <w:tcW w:w="7705" w:type="dxa"/>
          </w:tcPr>
          <w:p w:rsidR="00B36F8D" w:rsidRPr="003A3769" w:rsidRDefault="00B36F8D" w:rsidP="001822C7">
            <w:r w:rsidRPr="003A3769">
              <w:t xml:space="preserve">The Ministry of Health, </w:t>
            </w:r>
            <w:proofErr w:type="spellStart"/>
            <w:r>
              <w:t>DHB</w:t>
            </w:r>
            <w:r w:rsidRPr="003A3769">
              <w:t>s</w:t>
            </w:r>
            <w:proofErr w:type="spellEnd"/>
            <w:r>
              <w:t>,</w:t>
            </w:r>
            <w:r w:rsidRPr="003A3769">
              <w:t xml:space="preserve"> and </w:t>
            </w:r>
            <w:proofErr w:type="spellStart"/>
            <w:r>
              <w:t>PHU</w:t>
            </w:r>
            <w:r w:rsidRPr="003A3769">
              <w:t>s</w:t>
            </w:r>
            <w:proofErr w:type="spellEnd"/>
            <w:r w:rsidRPr="003A3769">
              <w:t xml:space="preserve"> have a responsibility for providing timely, accurate</w:t>
            </w:r>
            <w:r>
              <w:t>,</w:t>
            </w:r>
            <w:r w:rsidRPr="003A3769">
              <w:t xml:space="preserve"> and relevant advice to communities </w:t>
            </w:r>
            <w:r>
              <w:t xml:space="preserve">affected </w:t>
            </w:r>
            <w:r w:rsidRPr="003A3769">
              <w:t xml:space="preserve">by the emergency, while maintaining services to the best of their ability. </w:t>
            </w:r>
          </w:p>
          <w:p w:rsidR="00B36F8D" w:rsidRPr="003A3769" w:rsidRDefault="00B36F8D" w:rsidP="001822C7">
            <w:r w:rsidRPr="003A3769">
              <w:t>However, during emergencies, the capacity and capability of health-related services may be severely impacted. For example:</w:t>
            </w:r>
          </w:p>
          <w:p w:rsidR="00B36F8D" w:rsidRPr="003A3769" w:rsidRDefault="00B36F8D" w:rsidP="001822C7">
            <w:pPr>
              <w:pStyle w:val="Bullet"/>
            </w:pPr>
            <w:r w:rsidRPr="003A3769">
              <w:t>usual facilities and infrastructure may be disrupted or unavailable</w:t>
            </w:r>
          </w:p>
          <w:p w:rsidR="00B36F8D" w:rsidRPr="003A3769" w:rsidRDefault="00B36F8D" w:rsidP="001822C7">
            <w:pPr>
              <w:pStyle w:val="Bullet"/>
            </w:pPr>
            <w:r w:rsidRPr="003A3769">
              <w:t>particular medications or medical aids may be in short supply</w:t>
            </w:r>
          </w:p>
          <w:p w:rsidR="00B36F8D" w:rsidRPr="003A3769" w:rsidRDefault="00B36F8D" w:rsidP="001822C7">
            <w:pPr>
              <w:pStyle w:val="Bullet"/>
            </w:pPr>
            <w:r w:rsidRPr="003A3769">
              <w:t>people that are sheltering in place, or are displaced, may not have access to their regular health and disability services, or their medication, or</w:t>
            </w:r>
          </w:p>
          <w:p w:rsidR="00B36F8D" w:rsidRPr="003A3769" w:rsidRDefault="00B36F8D" w:rsidP="001822C7">
            <w:pPr>
              <w:pStyle w:val="Bullet"/>
            </w:pPr>
            <w:proofErr w:type="gramStart"/>
            <w:r w:rsidRPr="003A3769">
              <w:t>accessing</w:t>
            </w:r>
            <w:proofErr w:type="gramEnd"/>
            <w:r w:rsidRPr="003A3769">
              <w:t xml:space="preserve"> medical or prescription records may be difficult.</w:t>
            </w:r>
          </w:p>
          <w:p w:rsidR="00B36F8D" w:rsidRPr="003A3769" w:rsidRDefault="00B36F8D" w:rsidP="001822C7">
            <w:r w:rsidRPr="003A3769">
              <w:t>Community members need to be informed of and prepare for these possibilities, especially for protracted emergencies. This will lessen the burden on the health sector, and allow them to provide more essential services to those in most urgent need.</w:t>
            </w:r>
          </w:p>
          <w:p w:rsidR="00B36F8D" w:rsidRPr="003A3769" w:rsidRDefault="00B36F8D" w:rsidP="001822C7">
            <w:pPr>
              <w:pStyle w:val="Spacer"/>
            </w:pPr>
          </w:p>
        </w:tc>
      </w:tr>
      <w:tr w:rsidR="00B36F8D" w:rsidRPr="003A3769" w:rsidTr="001822C7">
        <w:trPr>
          <w:cantSplit/>
        </w:trPr>
        <w:tc>
          <w:tcPr>
            <w:tcW w:w="1928" w:type="dxa"/>
            <w:tcMar>
              <w:right w:w="227" w:type="dxa"/>
            </w:tcMar>
          </w:tcPr>
          <w:p w:rsidR="00B36F8D" w:rsidRPr="003A3769" w:rsidRDefault="00B36F8D" w:rsidP="001822C7">
            <w:pPr>
              <w:rPr>
                <w:rFonts w:ascii="Arial Narrow" w:hAnsi="Arial Narrow"/>
                <w:b/>
                <w:noProof/>
                <w:color w:val="005A9B" w:themeColor="background2"/>
              </w:rPr>
            </w:pPr>
            <w:r w:rsidRPr="003A3769">
              <w:rPr>
                <w:rFonts w:ascii="Arial Narrow" w:hAnsi="Arial Narrow"/>
                <w:b/>
                <w:noProof/>
                <w:color w:val="005A9B" w:themeColor="background2"/>
              </w:rPr>
              <w:drawing>
                <wp:anchor distT="0" distB="0" distL="114300" distR="114300" simplePos="0" relativeHeight="251680768" behindDoc="0" locked="0" layoutInCell="1" allowOverlap="1">
                  <wp:simplePos x="0" y="0"/>
                  <wp:positionH relativeFrom="column">
                    <wp:align>center</wp:align>
                  </wp:positionH>
                  <wp:positionV relativeFrom="margin">
                    <wp:posOffset>400050</wp:posOffset>
                  </wp:positionV>
                  <wp:extent cx="561600" cy="5616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rFonts w:ascii="Arial Narrow" w:hAnsi="Arial Narrow"/>
                <w:b/>
                <w:noProof/>
                <w:color w:val="005A9B" w:themeColor="background2"/>
              </w:rPr>
              <w:t>Pandemic</w:t>
            </w:r>
          </w:p>
        </w:tc>
        <w:tc>
          <w:tcPr>
            <w:tcW w:w="7705" w:type="dxa"/>
          </w:tcPr>
          <w:p w:rsidR="00B36F8D" w:rsidRPr="003A3769" w:rsidRDefault="00B36F8D" w:rsidP="001822C7">
            <w:r w:rsidRPr="003A3769">
              <w:t>Welfare provision in a pandemic will follow the same guidelines as for any other response.</w:t>
            </w:r>
          </w:p>
          <w:p w:rsidR="00B36F8D" w:rsidRPr="003A3769" w:rsidRDefault="00B36F8D" w:rsidP="001822C7">
            <w:r w:rsidRPr="003A3769">
              <w:t xml:space="preserve">For more information, refer to </w:t>
            </w:r>
            <w:r w:rsidRPr="003A3769">
              <w:rPr>
                <w:i/>
              </w:rPr>
              <w:t>Ministry of Health New Zealand Influenza Pandemic Plan: A framework for action</w:t>
            </w:r>
            <w:r>
              <w:rPr>
                <w:i/>
              </w:rPr>
              <w:t>,</w:t>
            </w:r>
            <w:r w:rsidRPr="003A3769">
              <w:rPr>
                <w:i/>
              </w:rPr>
              <w:t xml:space="preserve"> </w:t>
            </w:r>
            <w:r w:rsidRPr="003A3769">
              <w:t xml:space="preserve">available at </w:t>
            </w:r>
            <w:hyperlink r:id="rId25" w:history="1">
              <w:r w:rsidRPr="003A3769">
                <w:rPr>
                  <w:color w:val="005A9B" w:themeColor="background2"/>
                  <w:u w:val="single"/>
                </w:rPr>
                <w:t>www.health.govt.nz</w:t>
              </w:r>
            </w:hyperlink>
            <w:r w:rsidRPr="003A3769">
              <w:t xml:space="preserve"> </w:t>
            </w:r>
            <w:r>
              <w:t>(search for ‘influenza pandemic plan’).</w:t>
            </w:r>
          </w:p>
        </w:tc>
      </w:tr>
    </w:tbl>
    <w:p w:rsidR="00B36F8D" w:rsidRDefault="00B36F8D" w:rsidP="00B36F8D"/>
    <w:p w:rsidR="00B36F8D" w:rsidRPr="003A3769" w:rsidRDefault="00B36F8D" w:rsidP="00B36F8D">
      <w:pPr>
        <w:pStyle w:val="Heading2"/>
        <w:ind w:left="0"/>
      </w:pPr>
      <w:bookmarkStart w:id="22" w:name="_Toc418238717"/>
      <w:bookmarkStart w:id="23" w:name="_Toc433815311"/>
      <w:bookmarkStart w:id="24" w:name="_Toc434928987"/>
      <w:r w:rsidRPr="003A3769">
        <w:t>Reduction and readiness</w:t>
      </w:r>
      <w:bookmarkEnd w:id="22"/>
      <w:bookmarkEnd w:id="23"/>
      <w:bookmarkEnd w:id="2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5"/>
      </w:tblGrid>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p>
        </w:tc>
        <w:tc>
          <w:tcPr>
            <w:tcW w:w="7705" w:type="dxa"/>
          </w:tcPr>
          <w:p w:rsidR="00B36F8D" w:rsidRPr="003A3769" w:rsidRDefault="00B36F8D" w:rsidP="001822C7">
            <w:r w:rsidRPr="003A3769">
              <w:t xml:space="preserve">The following considerations </w:t>
            </w:r>
            <w:r>
              <w:t xml:space="preserve">(next page) </w:t>
            </w:r>
            <w:r w:rsidRPr="003A3769">
              <w:t>will assist in developing household goods and services planning and provision.</w:t>
            </w:r>
          </w:p>
          <w:p w:rsidR="00B36F8D" w:rsidRPr="003A3769" w:rsidRDefault="00B36F8D" w:rsidP="001822C7">
            <w:pPr>
              <w:pStyle w:val="Spacer"/>
            </w:pP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lastRenderedPageBreak/>
              <w:t xml:space="preserve">Risk assessment </w:t>
            </w:r>
          </w:p>
        </w:tc>
        <w:tc>
          <w:tcPr>
            <w:tcW w:w="7705" w:type="dxa"/>
          </w:tcPr>
          <w:p w:rsidR="00B36F8D" w:rsidRPr="003A3769" w:rsidRDefault="00B36F8D" w:rsidP="001822C7">
            <w:r w:rsidRPr="003A3769">
              <w:t>Hazard and risk assessments should identify consequences of hazards in CDEM Group</w:t>
            </w:r>
            <w:r>
              <w:t>/local authority</w:t>
            </w:r>
            <w:r w:rsidRPr="003A3769">
              <w:t xml:space="preserve"> areas that need to be managed. When the consequences of an emergency include people who have been displaced or who are sheltering in place, a good understanding of the following is required:</w:t>
            </w:r>
          </w:p>
          <w:p w:rsidR="00B36F8D" w:rsidRPr="003A3769" w:rsidRDefault="00B36F8D" w:rsidP="001822C7">
            <w:pPr>
              <w:pStyle w:val="Bullet"/>
            </w:pPr>
            <w:r w:rsidRPr="003A3769">
              <w:t>nature of the hazard that may cause people to be displaced and the implications of the hazard on reaching and/or providing for those communities</w:t>
            </w:r>
          </w:p>
          <w:p w:rsidR="00B36F8D" w:rsidRPr="003A3769" w:rsidRDefault="00B36F8D" w:rsidP="001822C7">
            <w:pPr>
              <w:pStyle w:val="Bullet"/>
            </w:pPr>
            <w:r w:rsidRPr="003A3769">
              <w:t>state of local lifeline utilit</w:t>
            </w:r>
            <w:r>
              <w:t xml:space="preserve">ies </w:t>
            </w:r>
            <w:r w:rsidRPr="003A3769">
              <w:t>and the implications on shelter, nutrition, water and sanitation</w:t>
            </w:r>
          </w:p>
          <w:p w:rsidR="00B36F8D" w:rsidRPr="003A3769" w:rsidRDefault="00B36F8D" w:rsidP="001822C7">
            <w:pPr>
              <w:pStyle w:val="Bullet"/>
            </w:pPr>
            <w:r w:rsidRPr="003A3769">
              <w:t>state of the fast moving consumer goods</w:t>
            </w:r>
            <w:r>
              <w:t xml:space="preserve"> (FMCG)</w:t>
            </w:r>
            <w:r w:rsidRPr="003A3769">
              <w:t xml:space="preserve"> sector and any potential impediments for the distribution of goods</w:t>
            </w:r>
          </w:p>
          <w:p w:rsidR="00B36F8D" w:rsidRPr="003A3769" w:rsidRDefault="00B36F8D" w:rsidP="001822C7">
            <w:pPr>
              <w:pStyle w:val="Bullet"/>
            </w:pPr>
            <w:r w:rsidRPr="003A3769">
              <w:t>locations/areas from where people are likely to be displaced and the nearby potential shelter/accommodation facilities</w:t>
            </w:r>
          </w:p>
          <w:p w:rsidR="00B36F8D" w:rsidRPr="003A3769" w:rsidRDefault="00B36F8D" w:rsidP="001822C7">
            <w:pPr>
              <w:pStyle w:val="Bullet"/>
            </w:pPr>
            <w:r w:rsidRPr="003A3769">
              <w:t>numbers of people likely to be affected by an emergency</w:t>
            </w:r>
          </w:p>
          <w:p w:rsidR="00B36F8D" w:rsidRPr="003A3769" w:rsidRDefault="00B36F8D" w:rsidP="001822C7">
            <w:pPr>
              <w:pStyle w:val="Bullet"/>
            </w:pPr>
            <w:r w:rsidRPr="003A3769">
              <w:t>demographics of the population (including vulnerable communities) and any likely requirements regarding household goods and services, and</w:t>
            </w:r>
          </w:p>
          <w:p w:rsidR="00B36F8D" w:rsidRPr="003A3769" w:rsidRDefault="00B36F8D" w:rsidP="001822C7">
            <w:pPr>
              <w:pStyle w:val="Bullet"/>
            </w:pPr>
            <w:proofErr w:type="gramStart"/>
            <w:r w:rsidRPr="003A3769">
              <w:t>high-risk</w:t>
            </w:r>
            <w:proofErr w:type="gramEnd"/>
            <w:r w:rsidRPr="003A3769">
              <w:t xml:space="preserve"> facilities located in the area that are likely to be affected by an emergency (e.g. rest homes, hospitals, schools, prisons).</w:t>
            </w:r>
          </w:p>
          <w:p w:rsidR="00B36F8D" w:rsidRPr="003A3769" w:rsidRDefault="00B36F8D" w:rsidP="001822C7">
            <w:pPr>
              <w:pStyle w:val="Spacer"/>
            </w:pP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 xml:space="preserve">Roles and responsibilities </w:t>
            </w:r>
          </w:p>
        </w:tc>
        <w:tc>
          <w:tcPr>
            <w:tcW w:w="7705" w:type="dxa"/>
          </w:tcPr>
          <w:p w:rsidR="00B36F8D" w:rsidRPr="003A3769" w:rsidRDefault="00B36F8D" w:rsidP="001822C7">
            <w:r w:rsidRPr="003A3769">
              <w:t xml:space="preserve">The role of the household goods and services sub-function is to ensure that there is effective engagement by participating agencies, and </w:t>
            </w:r>
            <w:proofErr w:type="gramStart"/>
            <w:r w:rsidRPr="003A3769">
              <w:t>that</w:t>
            </w:r>
            <w:proofErr w:type="gramEnd"/>
            <w:r w:rsidRPr="003A3769">
              <w:t xml:space="preserve"> household goods and services planning is integrated across all agencies.</w:t>
            </w:r>
          </w:p>
          <w:p w:rsidR="00B36F8D" w:rsidRPr="003A3769" w:rsidRDefault="00B36F8D" w:rsidP="001822C7">
            <w:r>
              <w:t>It is important to ensure</w:t>
            </w:r>
            <w:r w:rsidRPr="003A3769">
              <w:t xml:space="preserve"> that specific roles and responsibilities are described clearly and assigned to appropriate organisations/agencies.</w:t>
            </w:r>
          </w:p>
          <w:p w:rsidR="00B36F8D" w:rsidRPr="003A3769" w:rsidRDefault="00B36F8D" w:rsidP="001822C7">
            <w:pPr>
              <w:pStyle w:val="Spacer"/>
            </w:pPr>
          </w:p>
        </w:tc>
      </w:tr>
      <w:tr w:rsidR="00B36F8D" w:rsidRPr="003A3769" w:rsidTr="001822C7">
        <w:trPr>
          <w:cantSplit/>
        </w:trPr>
        <w:tc>
          <w:tcPr>
            <w:tcW w:w="1927" w:type="dxa"/>
            <w:tcMar>
              <w:right w:w="227" w:type="dxa"/>
            </w:tcMar>
          </w:tcPr>
          <w:p w:rsidR="00B36F8D" w:rsidRPr="003A3769" w:rsidRDefault="001822C7" w:rsidP="001822C7">
            <w:pPr>
              <w:rPr>
                <w:rFonts w:ascii="Arial Narrow" w:hAnsi="Arial Narrow"/>
                <w:b/>
                <w:color w:val="005A9B" w:themeColor="background2"/>
              </w:rPr>
            </w:pPr>
            <w:r w:rsidRPr="003A3769">
              <w:rPr>
                <w:rFonts w:ascii="Arial Narrow" w:hAnsi="Arial Narrow"/>
                <w:b/>
                <w:noProof/>
                <w:color w:val="005A9B" w:themeColor="background2"/>
              </w:rPr>
              <w:drawing>
                <wp:anchor distT="0" distB="0" distL="114300" distR="114300" simplePos="0" relativeHeight="251686912" behindDoc="0" locked="0" layoutInCell="1" allowOverlap="1">
                  <wp:simplePos x="0" y="0"/>
                  <wp:positionH relativeFrom="column">
                    <wp:align>center</wp:align>
                  </wp:positionH>
                  <wp:positionV relativeFrom="margin">
                    <wp:posOffset>2590800</wp:posOffset>
                  </wp:positionV>
                  <wp:extent cx="561600" cy="56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00B36F8D" w:rsidRPr="003A3769">
              <w:rPr>
                <w:rFonts w:ascii="Arial Narrow" w:hAnsi="Arial Narrow"/>
                <w:b/>
                <w:color w:val="005A9B" w:themeColor="background2"/>
              </w:rPr>
              <w:t>Plan and process development</w:t>
            </w:r>
          </w:p>
        </w:tc>
        <w:tc>
          <w:tcPr>
            <w:tcW w:w="7705" w:type="dxa"/>
          </w:tcPr>
          <w:p w:rsidR="00B36F8D" w:rsidRPr="003A3769" w:rsidRDefault="00B36F8D" w:rsidP="001822C7">
            <w:r w:rsidRPr="003A3769">
              <w:t>Develop arrangements that ensure that each organisation understands:</w:t>
            </w:r>
          </w:p>
          <w:p w:rsidR="00B36F8D" w:rsidRPr="003A3769" w:rsidRDefault="00B36F8D" w:rsidP="001822C7">
            <w:pPr>
              <w:pStyle w:val="Bullet"/>
            </w:pPr>
            <w:r w:rsidRPr="003A3769">
              <w:t xml:space="preserve">specifically what will be provided </w:t>
            </w:r>
          </w:p>
          <w:p w:rsidR="00B36F8D" w:rsidRPr="003A3769" w:rsidRDefault="00B36F8D" w:rsidP="001822C7">
            <w:pPr>
              <w:pStyle w:val="Bullet"/>
            </w:pPr>
            <w:r w:rsidRPr="003A3769">
              <w:t>where the critical risks and vulnerabilities are, and where areas of increased capacity exist (e.g. community response plans)</w:t>
            </w:r>
          </w:p>
          <w:p w:rsidR="00B36F8D" w:rsidRPr="003A3769" w:rsidRDefault="00B36F8D" w:rsidP="001822C7">
            <w:pPr>
              <w:pStyle w:val="Bullet"/>
            </w:pPr>
            <w:r w:rsidRPr="003A3769">
              <w:t>how provision will be sustained in difficult circumstances</w:t>
            </w:r>
          </w:p>
          <w:p w:rsidR="00B36F8D" w:rsidRPr="003A3769" w:rsidRDefault="00B36F8D" w:rsidP="001822C7">
            <w:pPr>
              <w:pStyle w:val="Bullet"/>
            </w:pPr>
            <w:r w:rsidRPr="003A3769">
              <w:t>how provision might be affected by scale (i.e. where capacity to provide might be exceeded)</w:t>
            </w:r>
          </w:p>
          <w:p w:rsidR="00B36F8D" w:rsidRDefault="00B36F8D" w:rsidP="001822C7">
            <w:pPr>
              <w:pStyle w:val="Bullet"/>
            </w:pPr>
            <w:r>
              <w:t>how provision will be monitored and adapted to meet potential changes (align with needs assessment sub-function), and</w:t>
            </w:r>
          </w:p>
          <w:p w:rsidR="00B36F8D" w:rsidRDefault="00B36F8D" w:rsidP="001822C7">
            <w:pPr>
              <w:pStyle w:val="Bullet"/>
            </w:pPr>
            <w:proofErr w:type="gramStart"/>
            <w:r>
              <w:t>what</w:t>
            </w:r>
            <w:proofErr w:type="gramEnd"/>
            <w:r>
              <w:t xml:space="preserve"> reporting requirements exist, or may exist in the future (align with needs assessment sub-function).</w:t>
            </w:r>
          </w:p>
          <w:p w:rsidR="00B36F8D" w:rsidRPr="003A3769" w:rsidRDefault="001822C7" w:rsidP="001822C7">
            <w:r>
              <w:t xml:space="preserve">Refer to Part II Section 7 </w:t>
            </w:r>
            <w:r w:rsidRPr="001822C7">
              <w:rPr>
                <w:i/>
              </w:rPr>
              <w:t>Needs assessment</w:t>
            </w:r>
            <w:r>
              <w:t xml:space="preserve"> of the </w:t>
            </w:r>
            <w:r w:rsidRPr="001822C7">
              <w:rPr>
                <w:i/>
              </w:rPr>
              <w:t>Welfare Services in an Emergency Director’s Guideline [DGL 11/15]</w:t>
            </w:r>
            <w:r>
              <w:t xml:space="preserve"> available at </w:t>
            </w:r>
            <w:hyperlink r:id="rId26" w:history="1">
              <w:r w:rsidRPr="006E35F5">
                <w:rPr>
                  <w:rStyle w:val="Hyperlink"/>
                </w:rPr>
                <w:t>www.civildefence.govt.nz</w:t>
              </w:r>
            </w:hyperlink>
            <w:r>
              <w:t>.</w:t>
            </w: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lastRenderedPageBreak/>
              <w:t>Capacity and capability</w:t>
            </w:r>
          </w:p>
        </w:tc>
        <w:tc>
          <w:tcPr>
            <w:tcW w:w="7705" w:type="dxa"/>
          </w:tcPr>
          <w:p w:rsidR="00B36F8D" w:rsidRPr="003A3769" w:rsidRDefault="00B36F8D" w:rsidP="001822C7">
            <w:r w:rsidRPr="003A3769">
              <w:t>Planning should consider and describe arrangements that ensure:</w:t>
            </w:r>
          </w:p>
          <w:p w:rsidR="00B36F8D" w:rsidRPr="003A3769" w:rsidRDefault="00B36F8D" w:rsidP="001822C7">
            <w:pPr>
              <w:pStyle w:val="Bullet"/>
            </w:pPr>
            <w:r w:rsidRPr="003A3769">
              <w:t>that the appropriate resources required to coordinate and deliver provision for the household goods and services sub function are identified for each organisation/agency</w:t>
            </w:r>
            <w:r>
              <w:t>, and</w:t>
            </w:r>
          </w:p>
          <w:p w:rsidR="00B36F8D" w:rsidRPr="003A3769" w:rsidRDefault="00B36F8D" w:rsidP="001822C7">
            <w:pPr>
              <w:pStyle w:val="Bullet"/>
            </w:pPr>
            <w:proofErr w:type="gramStart"/>
            <w:r w:rsidRPr="003A3769">
              <w:t>appropriate</w:t>
            </w:r>
            <w:proofErr w:type="gramEnd"/>
            <w:r w:rsidRPr="003A3769">
              <w:t xml:space="preserve"> training and exercising opportunities are identified for organisations to collectively test the effectiveness of plans for the provision of household goods and services.</w:t>
            </w:r>
          </w:p>
          <w:p w:rsidR="00B36F8D" w:rsidRPr="003A3769" w:rsidRDefault="00B36F8D" w:rsidP="001822C7">
            <w:pPr>
              <w:pStyle w:val="Spacer"/>
            </w:pP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Business continuity</w:t>
            </w:r>
          </w:p>
        </w:tc>
        <w:tc>
          <w:tcPr>
            <w:tcW w:w="7705" w:type="dxa"/>
          </w:tcPr>
          <w:p w:rsidR="00B36F8D" w:rsidRPr="003A3769" w:rsidRDefault="00B36F8D" w:rsidP="001822C7">
            <w:r w:rsidRPr="003A3769">
              <w:t>Consider the following continuity issues when planning:</w:t>
            </w:r>
          </w:p>
          <w:p w:rsidR="00B36F8D" w:rsidRPr="003A3769" w:rsidRDefault="00B36F8D" w:rsidP="001822C7">
            <w:pPr>
              <w:pStyle w:val="Bullet"/>
            </w:pPr>
            <w:r w:rsidRPr="003A3769">
              <w:t xml:space="preserve">how an agreement to provide services (e.g. with a supermarket) impacts on a supplier’s own ability to manage its business continuity – for example where </w:t>
            </w:r>
            <w:r>
              <w:t>FMCG</w:t>
            </w:r>
            <w:r w:rsidRPr="003A3769">
              <w:t xml:space="preserve"> are affected</w:t>
            </w:r>
            <w:r>
              <w:t>, and</w:t>
            </w:r>
          </w:p>
          <w:p w:rsidR="00B36F8D" w:rsidRPr="003A3769" w:rsidRDefault="00B36F8D" w:rsidP="001822C7">
            <w:pPr>
              <w:pStyle w:val="Bullet"/>
            </w:pPr>
            <w:proofErr w:type="gramStart"/>
            <w:r w:rsidRPr="003A3769">
              <w:t>how</w:t>
            </w:r>
            <w:proofErr w:type="gramEnd"/>
            <w:r w:rsidRPr="003A3769">
              <w:t xml:space="preserve"> continuity planning for the household goods and services sub-function addresses impacts on identified suppliers (i.e. what is the alternative</w:t>
            </w:r>
            <w:r>
              <w:t xml:space="preserve"> if a provider canno</w:t>
            </w:r>
            <w:r w:rsidRPr="003A3769">
              <w:t>t meet the agreement).</w:t>
            </w:r>
          </w:p>
          <w:p w:rsidR="00B36F8D" w:rsidRPr="003A3769" w:rsidRDefault="00B36F8D" w:rsidP="001822C7">
            <w:pPr>
              <w:pStyle w:val="Spacer"/>
            </w:pPr>
          </w:p>
        </w:tc>
      </w:tr>
      <w:tr w:rsidR="00B36F8D" w:rsidRPr="003A3769" w:rsidTr="001822C7">
        <w:trPr>
          <w:cantSplit/>
        </w:trPr>
        <w:tc>
          <w:tcPr>
            <w:tcW w:w="1927"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color w:val="005A9B" w:themeColor="background2"/>
              </w:rPr>
              <w:t>Community arrangements</w:t>
            </w:r>
          </w:p>
        </w:tc>
        <w:tc>
          <w:tcPr>
            <w:tcW w:w="7705" w:type="dxa"/>
          </w:tcPr>
          <w:p w:rsidR="00B36F8D" w:rsidRPr="003A3769" w:rsidRDefault="00B36F8D" w:rsidP="001822C7">
            <w:r w:rsidRPr="003A3769">
              <w:t xml:space="preserve">Planning should </w:t>
            </w:r>
            <w:r>
              <w:t>acknowledge</w:t>
            </w:r>
            <w:r w:rsidRPr="003A3769">
              <w:t xml:space="preserve"> existing community arrangements that can facilitate the delivery of household goods and services</w:t>
            </w:r>
            <w:r>
              <w:t>, including</w:t>
            </w:r>
            <w:r w:rsidRPr="003A3769">
              <w:t>:</w:t>
            </w:r>
          </w:p>
          <w:p w:rsidR="00B36F8D" w:rsidRPr="003A3769" w:rsidRDefault="00B36F8D" w:rsidP="001822C7">
            <w:pPr>
              <w:pStyle w:val="Bullet"/>
            </w:pPr>
            <w:r w:rsidRPr="003A3769">
              <w:t xml:space="preserve">community response planning </w:t>
            </w:r>
          </w:p>
          <w:p w:rsidR="00B36F8D" w:rsidRPr="003A3769" w:rsidRDefault="00B36F8D" w:rsidP="001822C7">
            <w:pPr>
              <w:pStyle w:val="Bullet"/>
            </w:pPr>
            <w:r w:rsidRPr="003A3769">
              <w:t>community networks, and</w:t>
            </w:r>
          </w:p>
          <w:p w:rsidR="00B36F8D" w:rsidRPr="003A3769" w:rsidRDefault="00B36F8D" w:rsidP="001822C7">
            <w:pPr>
              <w:pStyle w:val="Bullet"/>
            </w:pPr>
            <w:proofErr w:type="gramStart"/>
            <w:r w:rsidRPr="003A3769">
              <w:t>community-based</w:t>
            </w:r>
            <w:proofErr w:type="gramEnd"/>
            <w:r w:rsidRPr="003A3769">
              <w:t xml:space="preserve"> organisations.</w:t>
            </w:r>
          </w:p>
        </w:tc>
      </w:tr>
    </w:tbl>
    <w:p w:rsidR="00B36F8D" w:rsidRPr="00A8013D" w:rsidRDefault="00B36F8D" w:rsidP="00B36F8D">
      <w:bookmarkStart w:id="25" w:name="_Toc418238718"/>
    </w:p>
    <w:p w:rsidR="00B36F8D" w:rsidRPr="003A3769" w:rsidRDefault="00B36F8D" w:rsidP="00B36F8D">
      <w:pPr>
        <w:pStyle w:val="Heading2"/>
        <w:ind w:left="0"/>
      </w:pPr>
      <w:bookmarkStart w:id="26" w:name="_Toc433815312"/>
      <w:bookmarkStart w:id="27" w:name="_Toc434928988"/>
      <w:r w:rsidRPr="003A3769">
        <w:t>Response and recovery</w:t>
      </w:r>
      <w:bookmarkEnd w:id="25"/>
      <w:bookmarkEnd w:id="26"/>
      <w:bookmarkEnd w:id="2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B36F8D" w:rsidRPr="003A3769" w:rsidTr="001822C7">
        <w:trPr>
          <w:cantSplit/>
          <w:trHeight w:val="5529"/>
        </w:trPr>
        <w:tc>
          <w:tcPr>
            <w:tcW w:w="1928" w:type="dxa"/>
            <w:tcMar>
              <w:right w:w="227" w:type="dxa"/>
            </w:tcMar>
          </w:tcPr>
          <w:p w:rsidR="00B36F8D" w:rsidRPr="003A3769" w:rsidRDefault="00B36F8D" w:rsidP="001822C7">
            <w:pPr>
              <w:rPr>
                <w:rFonts w:ascii="Arial Narrow" w:hAnsi="Arial Narrow"/>
                <w:b/>
                <w:color w:val="005A9B" w:themeColor="background2"/>
              </w:rPr>
            </w:pPr>
          </w:p>
        </w:tc>
        <w:tc>
          <w:tcPr>
            <w:tcW w:w="7705" w:type="dxa"/>
          </w:tcPr>
          <w:p w:rsidR="00B36F8D" w:rsidRPr="003A3769" w:rsidRDefault="00B36F8D" w:rsidP="001822C7">
            <w:r w:rsidRPr="003A3769">
              <w:t xml:space="preserve">The nature of the emergency may influence the types of </w:t>
            </w:r>
            <w:r>
              <w:t>household goods and services</w:t>
            </w:r>
            <w:r w:rsidRPr="003A3769">
              <w:t xml:space="preserve"> as well as the payment and delivery methods employed. Consideration should be given to the following:</w:t>
            </w:r>
          </w:p>
          <w:p w:rsidR="00B36F8D" w:rsidRPr="003A3769" w:rsidRDefault="00B36F8D" w:rsidP="001822C7">
            <w:pPr>
              <w:pStyle w:val="Bullet"/>
            </w:pPr>
            <w:r w:rsidRPr="003A3769">
              <w:t xml:space="preserve">assessment of the </w:t>
            </w:r>
            <w:r>
              <w:t>need</w:t>
            </w:r>
            <w:r w:rsidRPr="003A3769">
              <w:t>:</w:t>
            </w:r>
          </w:p>
          <w:p w:rsidR="00B36F8D" w:rsidRPr="003A3769" w:rsidRDefault="00B36F8D" w:rsidP="001822C7">
            <w:pPr>
              <w:pStyle w:val="Bullet"/>
              <w:numPr>
                <w:ilvl w:val="1"/>
                <w:numId w:val="6"/>
              </w:numPr>
            </w:pPr>
            <w:r w:rsidRPr="003A3769">
              <w:t xml:space="preserve">face to face </w:t>
            </w:r>
          </w:p>
          <w:p w:rsidR="00B36F8D" w:rsidRPr="003A3769" w:rsidRDefault="00B36F8D" w:rsidP="001822C7">
            <w:pPr>
              <w:pStyle w:val="Bullet"/>
              <w:numPr>
                <w:ilvl w:val="1"/>
                <w:numId w:val="6"/>
              </w:numPr>
            </w:pPr>
            <w:r w:rsidRPr="003A3769">
              <w:t>over the phone</w:t>
            </w:r>
          </w:p>
          <w:p w:rsidR="00B36F8D" w:rsidRPr="003A3769" w:rsidRDefault="00B36F8D" w:rsidP="001822C7">
            <w:pPr>
              <w:pStyle w:val="Bullet"/>
              <w:numPr>
                <w:ilvl w:val="1"/>
                <w:numId w:val="6"/>
              </w:numPr>
            </w:pPr>
            <w:r w:rsidRPr="003A3769">
              <w:t>online (if available)</w:t>
            </w:r>
          </w:p>
          <w:p w:rsidR="00B36F8D" w:rsidRPr="003A3769" w:rsidRDefault="00B36F8D" w:rsidP="001822C7">
            <w:pPr>
              <w:pStyle w:val="Bullet"/>
            </w:pPr>
            <w:r w:rsidRPr="003A3769">
              <w:t>purchasing and paying for the products:</w:t>
            </w:r>
          </w:p>
          <w:p w:rsidR="00B36F8D" w:rsidRPr="003A3769" w:rsidRDefault="00B36F8D" w:rsidP="001822C7">
            <w:pPr>
              <w:pStyle w:val="Bullet"/>
              <w:numPr>
                <w:ilvl w:val="1"/>
                <w:numId w:val="6"/>
              </w:numPr>
            </w:pPr>
            <w:r w:rsidRPr="003A3769">
              <w:t>by the CDEM Group</w:t>
            </w:r>
            <w:r>
              <w:t>/local authority</w:t>
            </w:r>
          </w:p>
          <w:p w:rsidR="00B36F8D" w:rsidRPr="003A3769" w:rsidRDefault="00B36F8D" w:rsidP="001822C7">
            <w:pPr>
              <w:pStyle w:val="Bullet"/>
              <w:numPr>
                <w:ilvl w:val="1"/>
                <w:numId w:val="6"/>
              </w:numPr>
            </w:pPr>
            <w:r w:rsidRPr="003A3769">
              <w:t>by the individual (online or over the phone)</w:t>
            </w:r>
          </w:p>
          <w:p w:rsidR="00B36F8D" w:rsidRPr="003A3769" w:rsidRDefault="00B36F8D" w:rsidP="001822C7">
            <w:pPr>
              <w:pStyle w:val="Bullet"/>
            </w:pPr>
            <w:r w:rsidRPr="003A3769">
              <w:t>delivering the products:</w:t>
            </w:r>
          </w:p>
          <w:p w:rsidR="00B36F8D" w:rsidRPr="003A3769" w:rsidRDefault="00B36F8D" w:rsidP="001822C7">
            <w:pPr>
              <w:pStyle w:val="Bullet"/>
              <w:numPr>
                <w:ilvl w:val="1"/>
                <w:numId w:val="6"/>
              </w:numPr>
            </w:pPr>
            <w:r w:rsidRPr="003A3769">
              <w:t>by the CDEM Group</w:t>
            </w:r>
            <w:r>
              <w:t>/local authority</w:t>
            </w:r>
          </w:p>
          <w:p w:rsidR="00B36F8D" w:rsidRPr="003A3769" w:rsidRDefault="00B36F8D" w:rsidP="001822C7">
            <w:pPr>
              <w:pStyle w:val="Bullet"/>
              <w:numPr>
                <w:ilvl w:val="1"/>
                <w:numId w:val="6"/>
              </w:numPr>
            </w:pPr>
            <w:r w:rsidRPr="003A3769">
              <w:t>by commercial provider (e.g. the vendor or courier), or</w:t>
            </w:r>
          </w:p>
          <w:p w:rsidR="00B36F8D" w:rsidRPr="003A3769" w:rsidRDefault="00B36F8D" w:rsidP="001822C7">
            <w:pPr>
              <w:pStyle w:val="Bullet"/>
              <w:numPr>
                <w:ilvl w:val="1"/>
                <w:numId w:val="6"/>
              </w:numPr>
            </w:pPr>
            <w:proofErr w:type="gramStart"/>
            <w:r w:rsidRPr="003A3769">
              <w:t>by</w:t>
            </w:r>
            <w:proofErr w:type="gramEnd"/>
            <w:r w:rsidRPr="003A3769">
              <w:t xml:space="preserve"> the individual.</w:t>
            </w:r>
          </w:p>
        </w:tc>
      </w:tr>
      <w:tr w:rsidR="00B36F8D" w:rsidRPr="003A3769" w:rsidTr="001822C7">
        <w:trPr>
          <w:cantSplit/>
        </w:trPr>
        <w:tc>
          <w:tcPr>
            <w:tcW w:w="1928" w:type="dxa"/>
            <w:tcMar>
              <w:right w:w="227" w:type="dxa"/>
            </w:tcMar>
          </w:tcPr>
          <w:p w:rsidR="00B36F8D" w:rsidRPr="003A3769" w:rsidRDefault="00B36F8D" w:rsidP="001822C7">
            <w:pPr>
              <w:rPr>
                <w:rFonts w:ascii="Arial Narrow" w:hAnsi="Arial Narrow"/>
                <w:b/>
                <w:color w:val="005A9B" w:themeColor="background2"/>
              </w:rPr>
            </w:pPr>
            <w:r w:rsidRPr="003A3769">
              <w:rPr>
                <w:rFonts w:ascii="Arial Narrow" w:hAnsi="Arial Narrow"/>
                <w:b/>
                <w:noProof/>
                <w:color w:val="005A9B" w:themeColor="background2"/>
              </w:rPr>
              <w:lastRenderedPageBreak/>
              <w:drawing>
                <wp:anchor distT="0" distB="0" distL="114300" distR="114300" simplePos="0" relativeHeight="251679744" behindDoc="0" locked="0" layoutInCell="1" allowOverlap="1">
                  <wp:simplePos x="0" y="0"/>
                  <wp:positionH relativeFrom="margin">
                    <wp:posOffset>223520</wp:posOffset>
                  </wp:positionH>
                  <wp:positionV relativeFrom="margin">
                    <wp:posOffset>2692400</wp:posOffset>
                  </wp:positionV>
                  <wp:extent cx="561340" cy="56134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r>
              <w:rPr>
                <w:rFonts w:ascii="Arial Narrow" w:hAnsi="Arial Narrow"/>
                <w:b/>
                <w:color w:val="005A9B" w:themeColor="background2"/>
              </w:rPr>
              <w:t>Aligning with other functions</w:t>
            </w:r>
          </w:p>
        </w:tc>
        <w:tc>
          <w:tcPr>
            <w:tcW w:w="7705" w:type="dxa"/>
          </w:tcPr>
          <w:p w:rsidR="00B36F8D" w:rsidRPr="003A3769" w:rsidRDefault="00B36F8D" w:rsidP="001822C7">
            <w:r>
              <w:t xml:space="preserve">The </w:t>
            </w:r>
            <w:r w:rsidRPr="003A3769">
              <w:t>delivery of household goods and services</w:t>
            </w:r>
            <w:r>
              <w:t xml:space="preserve"> should be aligned</w:t>
            </w:r>
            <w:r w:rsidRPr="003A3769">
              <w:t xml:space="preserve"> with the needs assessment sub-function and other functions, </w:t>
            </w:r>
            <w:r>
              <w:t>including</w:t>
            </w:r>
            <w:r w:rsidRPr="003A3769">
              <w:t>:</w:t>
            </w:r>
          </w:p>
          <w:p w:rsidR="00B36F8D" w:rsidRPr="003A3769" w:rsidRDefault="00B36F8D" w:rsidP="001822C7">
            <w:pPr>
              <w:pStyle w:val="Bullet"/>
            </w:pPr>
            <w:r w:rsidRPr="003A3769">
              <w:t xml:space="preserve">Public Information Management </w:t>
            </w:r>
            <w:r>
              <w:t xml:space="preserve">(PIM) </w:t>
            </w:r>
            <w:r w:rsidRPr="003A3769">
              <w:t>– consistent messaging/advice</w:t>
            </w:r>
          </w:p>
          <w:p w:rsidR="00B36F8D" w:rsidRDefault="00B36F8D" w:rsidP="001822C7">
            <w:pPr>
              <w:pStyle w:val="Bullet"/>
            </w:pPr>
            <w:r>
              <w:t>Logistics:</w:t>
            </w:r>
          </w:p>
          <w:p w:rsidR="00B36F8D" w:rsidRDefault="00B36F8D" w:rsidP="001822C7">
            <w:pPr>
              <w:pStyle w:val="Bullet"/>
              <w:numPr>
                <w:ilvl w:val="1"/>
                <w:numId w:val="6"/>
              </w:numPr>
            </w:pPr>
            <w:r w:rsidRPr="003A3769">
              <w:t>procurement of goods and services</w:t>
            </w:r>
          </w:p>
          <w:p w:rsidR="00B36F8D" w:rsidRPr="003A3769" w:rsidRDefault="00B36F8D" w:rsidP="001822C7">
            <w:pPr>
              <w:pStyle w:val="Bullet"/>
              <w:numPr>
                <w:ilvl w:val="1"/>
                <w:numId w:val="6"/>
              </w:numPr>
            </w:pPr>
            <w:r w:rsidRPr="003A3769">
              <w:t>distribution/collection of goods and services</w:t>
            </w:r>
          </w:p>
          <w:p w:rsidR="00B36F8D" w:rsidRDefault="00B36F8D" w:rsidP="001822C7">
            <w:pPr>
              <w:pStyle w:val="Bullet"/>
            </w:pPr>
            <w:proofErr w:type="gramStart"/>
            <w:r>
              <w:t>needs</w:t>
            </w:r>
            <w:proofErr w:type="gramEnd"/>
            <w:r>
              <w:t xml:space="preserve"> assessment sub-function – ongoing assessment of need</w:t>
            </w:r>
            <w:r w:rsidRPr="003A3769">
              <w:t xml:space="preserve"> </w:t>
            </w:r>
            <w:r>
              <w:t>(</w:t>
            </w:r>
            <w:r w:rsidRPr="003A3769">
              <w:t>have needs been met</w:t>
            </w:r>
            <w:r>
              <w:t>? C</w:t>
            </w:r>
            <w:r w:rsidRPr="003A3769">
              <w:t>losing the needs assessment loop)</w:t>
            </w:r>
          </w:p>
          <w:p w:rsidR="00B36F8D" w:rsidRDefault="00B36F8D" w:rsidP="001822C7">
            <w:pPr>
              <w:pStyle w:val="Bullet"/>
            </w:pPr>
            <w:r>
              <w:t>coordination centre (via Welfare Manager):</w:t>
            </w:r>
          </w:p>
          <w:p w:rsidR="00B36F8D" w:rsidRDefault="00B36F8D" w:rsidP="001822C7">
            <w:pPr>
              <w:pStyle w:val="Bullet"/>
              <w:numPr>
                <w:ilvl w:val="1"/>
                <w:numId w:val="6"/>
              </w:numPr>
            </w:pPr>
            <w:r w:rsidRPr="00CE1CE1">
              <w:t>reporting and updating on the situation, and</w:t>
            </w:r>
          </w:p>
          <w:p w:rsidR="00B36F8D" w:rsidRPr="00CE1CE1" w:rsidRDefault="00B36F8D" w:rsidP="001822C7">
            <w:pPr>
              <w:pStyle w:val="Bullet"/>
              <w:numPr>
                <w:ilvl w:val="1"/>
                <w:numId w:val="6"/>
              </w:numPr>
            </w:pPr>
            <w:proofErr w:type="gramStart"/>
            <w:r w:rsidRPr="00CE1CE1">
              <w:t>contribution</w:t>
            </w:r>
            <w:proofErr w:type="gramEnd"/>
            <w:r w:rsidRPr="00CE1CE1">
              <w:t xml:space="preserve"> to the welfare component of an Action Plan.</w:t>
            </w:r>
          </w:p>
          <w:p w:rsidR="00B36F8D" w:rsidRPr="003A3769" w:rsidRDefault="00B36F8D" w:rsidP="001822C7">
            <w:r w:rsidRPr="003A3769">
              <w:t xml:space="preserve">See the </w:t>
            </w:r>
            <w:r w:rsidRPr="003A3769">
              <w:rPr>
                <w:rFonts w:cs="Arial"/>
                <w:i/>
              </w:rPr>
              <w:t>Response Planning Director’s Guideline [</w:t>
            </w:r>
            <w:r>
              <w:rPr>
                <w:rFonts w:cs="Arial"/>
                <w:i/>
              </w:rPr>
              <w:t>DGL 19/15</w:t>
            </w:r>
            <w:r w:rsidRPr="003A3769">
              <w:rPr>
                <w:rFonts w:cs="Arial"/>
                <w:i/>
              </w:rPr>
              <w:t>]</w:t>
            </w:r>
            <w:r w:rsidRPr="003A3769">
              <w:rPr>
                <w:i/>
              </w:rPr>
              <w:t xml:space="preserve"> </w:t>
            </w:r>
            <w:r w:rsidRPr="0028181F">
              <w:t xml:space="preserve">(available at </w:t>
            </w:r>
            <w:hyperlink r:id="rId27" w:history="1">
              <w:r w:rsidRPr="0028181F">
                <w:rPr>
                  <w:rStyle w:val="Hyperlink"/>
                </w:rPr>
                <w:t>www.civildefence.govt.nz</w:t>
              </w:r>
            </w:hyperlink>
            <w:r w:rsidRPr="0028181F">
              <w:t>)</w:t>
            </w:r>
            <w:r>
              <w:t xml:space="preserve"> </w:t>
            </w:r>
            <w:r w:rsidRPr="0028181F">
              <w:t xml:space="preserve">for more information </w:t>
            </w:r>
            <w:r w:rsidRPr="003A3769">
              <w:t>on action planning.</w:t>
            </w:r>
          </w:p>
          <w:p w:rsidR="00B36F8D" w:rsidRPr="003A3769" w:rsidRDefault="00B36F8D" w:rsidP="001822C7">
            <w:pPr>
              <w:pStyle w:val="Spacer"/>
            </w:pPr>
          </w:p>
        </w:tc>
      </w:tr>
    </w:tbl>
    <w:p w:rsidR="00226EE2" w:rsidRPr="00F867ED" w:rsidRDefault="00226EE2" w:rsidP="00F867ED"/>
    <w:p w:rsidR="00515749" w:rsidRPr="00F867ED" w:rsidRDefault="00515749" w:rsidP="00F867ED"/>
    <w:p w:rsidR="00515749" w:rsidRPr="00F867ED" w:rsidRDefault="00515749" w:rsidP="00F867ED"/>
    <w:p w:rsidR="00226EE2" w:rsidRDefault="00226EE2" w:rsidP="00A75E5F">
      <w:pPr>
        <w:sectPr w:rsidR="00226EE2" w:rsidSect="00F55AE7">
          <w:headerReference w:type="default" r:id="rId28"/>
          <w:footerReference w:type="default" r:id="rId29"/>
          <w:pgSz w:w="11907" w:h="16840" w:code="9"/>
          <w:pgMar w:top="1191" w:right="1021" w:bottom="794" w:left="1361" w:header="567" w:footer="318" w:gutter="0"/>
          <w:pgNumType w:start="1"/>
          <w:cols w:space="720"/>
          <w:docGrid w:linePitch="326"/>
        </w:sectPr>
      </w:pPr>
    </w:p>
    <w:p w:rsidR="007E530A" w:rsidRDefault="007E530A" w:rsidP="007E530A">
      <w:pPr>
        <w:pStyle w:val="Heading1"/>
        <w:numPr>
          <w:ilvl w:val="0"/>
          <w:numId w:val="0"/>
        </w:numPr>
      </w:pPr>
      <w:bookmarkStart w:id="28" w:name="_Toc434928989"/>
      <w:bookmarkStart w:id="29" w:name="_Ref419707145"/>
      <w:bookmarkStart w:id="30" w:name="_Ref419707149"/>
      <w:bookmarkStart w:id="31" w:name="_Ref419707163"/>
      <w:bookmarkStart w:id="32" w:name="_Ref430961952"/>
      <w:bookmarkStart w:id="33" w:name="_Ref430961953"/>
      <w:bookmarkStart w:id="34" w:name="_Ref430961954"/>
      <w:bookmarkStart w:id="35" w:name="_Toc433815248"/>
      <w:r>
        <w:lastRenderedPageBreak/>
        <w:t>Appendices</w:t>
      </w:r>
      <w:bookmarkEnd w:id="28"/>
    </w:p>
    <w:p w:rsidR="00442C9C" w:rsidRDefault="00B505C0">
      <w:pPr>
        <w:pStyle w:val="TOC6"/>
        <w:rPr>
          <w:rFonts w:asciiTheme="minorHAnsi" w:eastAsiaTheme="minorEastAsia" w:hAnsiTheme="minorHAnsi" w:cstheme="minorBidi"/>
          <w:noProof/>
          <w:szCs w:val="22"/>
          <w:lang w:eastAsia="en-NZ"/>
        </w:rPr>
      </w:pPr>
      <w:r w:rsidRPr="00B505C0">
        <w:fldChar w:fldCharType="begin"/>
      </w:r>
      <w:r w:rsidR="007E530A">
        <w:instrText xml:space="preserve"> TOC \o "6-7" \h \z \u </w:instrText>
      </w:r>
      <w:r w:rsidRPr="00B505C0">
        <w:fldChar w:fldCharType="separate"/>
      </w:r>
      <w:hyperlink w:anchor="_Toc434928926" w:history="1">
        <w:r w:rsidR="00442C9C" w:rsidRPr="00FA6BD8">
          <w:rPr>
            <w:rStyle w:val="Hyperlink"/>
            <w:noProof/>
          </w:rPr>
          <w:t>Appendix A Information applicable to all welfare services</w:t>
        </w:r>
        <w:r w:rsidR="00442C9C">
          <w:rPr>
            <w:noProof/>
            <w:webHidden/>
          </w:rPr>
          <w:tab/>
        </w:r>
        <w:r>
          <w:rPr>
            <w:noProof/>
            <w:webHidden/>
          </w:rPr>
          <w:fldChar w:fldCharType="begin"/>
        </w:r>
        <w:r w:rsidR="00442C9C">
          <w:rPr>
            <w:noProof/>
            <w:webHidden/>
          </w:rPr>
          <w:instrText xml:space="preserve"> PAGEREF _Toc434928926 \h </w:instrText>
        </w:r>
        <w:r>
          <w:rPr>
            <w:noProof/>
            <w:webHidden/>
          </w:rPr>
        </w:r>
        <w:r>
          <w:rPr>
            <w:noProof/>
            <w:webHidden/>
          </w:rPr>
          <w:fldChar w:fldCharType="separate"/>
        </w:r>
        <w:r w:rsidR="00442C9C">
          <w:rPr>
            <w:noProof/>
            <w:webHidden/>
          </w:rPr>
          <w:t>12</w:t>
        </w:r>
        <w:r>
          <w:rPr>
            <w:noProof/>
            <w:webHidden/>
          </w:rPr>
          <w:fldChar w:fldCharType="end"/>
        </w:r>
      </w:hyperlink>
    </w:p>
    <w:p w:rsidR="00442C9C" w:rsidRDefault="00B505C0">
      <w:pPr>
        <w:pStyle w:val="TOC7"/>
        <w:rPr>
          <w:rFonts w:asciiTheme="minorHAnsi" w:eastAsiaTheme="minorEastAsia" w:hAnsiTheme="minorHAnsi" w:cstheme="minorBidi"/>
          <w:noProof/>
          <w:szCs w:val="22"/>
          <w:lang w:eastAsia="en-NZ"/>
        </w:rPr>
      </w:pPr>
      <w:hyperlink w:anchor="_Toc434928927" w:history="1">
        <w:r w:rsidR="00442C9C" w:rsidRPr="00FA6BD8">
          <w:rPr>
            <w:rStyle w:val="Hyperlink"/>
            <w:noProof/>
          </w:rPr>
          <w:t>A.1 Welfare services agency representation</w:t>
        </w:r>
        <w:r w:rsidR="00442C9C">
          <w:rPr>
            <w:noProof/>
            <w:webHidden/>
          </w:rPr>
          <w:tab/>
        </w:r>
        <w:r>
          <w:rPr>
            <w:noProof/>
            <w:webHidden/>
          </w:rPr>
          <w:fldChar w:fldCharType="begin"/>
        </w:r>
        <w:r w:rsidR="00442C9C">
          <w:rPr>
            <w:noProof/>
            <w:webHidden/>
          </w:rPr>
          <w:instrText xml:space="preserve"> PAGEREF _Toc434928927 \h </w:instrText>
        </w:r>
        <w:r>
          <w:rPr>
            <w:noProof/>
            <w:webHidden/>
          </w:rPr>
        </w:r>
        <w:r>
          <w:rPr>
            <w:noProof/>
            <w:webHidden/>
          </w:rPr>
          <w:fldChar w:fldCharType="separate"/>
        </w:r>
        <w:r w:rsidR="00442C9C">
          <w:rPr>
            <w:noProof/>
            <w:webHidden/>
          </w:rPr>
          <w:t>12</w:t>
        </w:r>
        <w:r>
          <w:rPr>
            <w:noProof/>
            <w:webHidden/>
          </w:rPr>
          <w:fldChar w:fldCharType="end"/>
        </w:r>
      </w:hyperlink>
    </w:p>
    <w:p w:rsidR="00442C9C" w:rsidRDefault="00B505C0">
      <w:pPr>
        <w:pStyle w:val="TOC7"/>
        <w:rPr>
          <w:rFonts w:asciiTheme="minorHAnsi" w:eastAsiaTheme="minorEastAsia" w:hAnsiTheme="minorHAnsi" w:cstheme="minorBidi"/>
          <w:noProof/>
          <w:szCs w:val="22"/>
          <w:lang w:eastAsia="en-NZ"/>
        </w:rPr>
      </w:pPr>
      <w:hyperlink w:anchor="_Toc434928928" w:history="1">
        <w:r w:rsidR="00442C9C" w:rsidRPr="00FA6BD8">
          <w:rPr>
            <w:rStyle w:val="Hyperlink"/>
            <w:noProof/>
          </w:rPr>
          <w:t>A.2 Human rights</w:t>
        </w:r>
        <w:r w:rsidR="00442C9C">
          <w:rPr>
            <w:noProof/>
            <w:webHidden/>
          </w:rPr>
          <w:tab/>
        </w:r>
        <w:r>
          <w:rPr>
            <w:noProof/>
            <w:webHidden/>
          </w:rPr>
          <w:fldChar w:fldCharType="begin"/>
        </w:r>
        <w:r w:rsidR="00442C9C">
          <w:rPr>
            <w:noProof/>
            <w:webHidden/>
          </w:rPr>
          <w:instrText xml:space="preserve"> PAGEREF _Toc434928928 \h </w:instrText>
        </w:r>
        <w:r>
          <w:rPr>
            <w:noProof/>
            <w:webHidden/>
          </w:rPr>
        </w:r>
        <w:r>
          <w:rPr>
            <w:noProof/>
            <w:webHidden/>
          </w:rPr>
          <w:fldChar w:fldCharType="separate"/>
        </w:r>
        <w:r w:rsidR="00442C9C">
          <w:rPr>
            <w:noProof/>
            <w:webHidden/>
          </w:rPr>
          <w:t>12</w:t>
        </w:r>
        <w:r>
          <w:rPr>
            <w:noProof/>
            <w:webHidden/>
          </w:rPr>
          <w:fldChar w:fldCharType="end"/>
        </w:r>
      </w:hyperlink>
    </w:p>
    <w:p w:rsidR="00442C9C" w:rsidRDefault="00B505C0">
      <w:pPr>
        <w:pStyle w:val="TOC7"/>
        <w:rPr>
          <w:rFonts w:asciiTheme="minorHAnsi" w:eastAsiaTheme="minorEastAsia" w:hAnsiTheme="minorHAnsi" w:cstheme="minorBidi"/>
          <w:noProof/>
          <w:szCs w:val="22"/>
          <w:lang w:eastAsia="en-NZ"/>
        </w:rPr>
      </w:pPr>
      <w:hyperlink w:anchor="_Toc434928929" w:history="1">
        <w:r w:rsidR="00442C9C" w:rsidRPr="00FA6BD8">
          <w:rPr>
            <w:rStyle w:val="Hyperlink"/>
            <w:noProof/>
          </w:rPr>
          <w:t>A.3 Working with communities</w:t>
        </w:r>
        <w:r w:rsidR="00442C9C">
          <w:rPr>
            <w:noProof/>
            <w:webHidden/>
          </w:rPr>
          <w:tab/>
        </w:r>
        <w:r>
          <w:rPr>
            <w:noProof/>
            <w:webHidden/>
          </w:rPr>
          <w:fldChar w:fldCharType="begin"/>
        </w:r>
        <w:r w:rsidR="00442C9C">
          <w:rPr>
            <w:noProof/>
            <w:webHidden/>
          </w:rPr>
          <w:instrText xml:space="preserve"> PAGEREF _Toc434928929 \h </w:instrText>
        </w:r>
        <w:r>
          <w:rPr>
            <w:noProof/>
            <w:webHidden/>
          </w:rPr>
        </w:r>
        <w:r>
          <w:rPr>
            <w:noProof/>
            <w:webHidden/>
          </w:rPr>
          <w:fldChar w:fldCharType="separate"/>
        </w:r>
        <w:r w:rsidR="00442C9C">
          <w:rPr>
            <w:noProof/>
            <w:webHidden/>
          </w:rPr>
          <w:t>13</w:t>
        </w:r>
        <w:r>
          <w:rPr>
            <w:noProof/>
            <w:webHidden/>
          </w:rPr>
          <w:fldChar w:fldCharType="end"/>
        </w:r>
      </w:hyperlink>
    </w:p>
    <w:p w:rsidR="00442C9C" w:rsidRDefault="00B505C0">
      <w:pPr>
        <w:pStyle w:val="TOC7"/>
        <w:rPr>
          <w:rFonts w:asciiTheme="minorHAnsi" w:eastAsiaTheme="minorEastAsia" w:hAnsiTheme="minorHAnsi" w:cstheme="minorBidi"/>
          <w:noProof/>
          <w:szCs w:val="22"/>
          <w:lang w:eastAsia="en-NZ"/>
        </w:rPr>
      </w:pPr>
      <w:hyperlink w:anchor="_Toc434928930" w:history="1">
        <w:r w:rsidR="00442C9C" w:rsidRPr="00FA6BD8">
          <w:rPr>
            <w:rStyle w:val="Hyperlink"/>
            <w:noProof/>
          </w:rPr>
          <w:t>A.4 Minimum standards in the Sphere Handbook</w:t>
        </w:r>
        <w:r w:rsidR="00442C9C">
          <w:rPr>
            <w:noProof/>
            <w:webHidden/>
          </w:rPr>
          <w:tab/>
        </w:r>
        <w:r>
          <w:rPr>
            <w:noProof/>
            <w:webHidden/>
          </w:rPr>
          <w:fldChar w:fldCharType="begin"/>
        </w:r>
        <w:r w:rsidR="00442C9C">
          <w:rPr>
            <w:noProof/>
            <w:webHidden/>
          </w:rPr>
          <w:instrText xml:space="preserve"> PAGEREF _Toc434928930 \h </w:instrText>
        </w:r>
        <w:r>
          <w:rPr>
            <w:noProof/>
            <w:webHidden/>
          </w:rPr>
        </w:r>
        <w:r>
          <w:rPr>
            <w:noProof/>
            <w:webHidden/>
          </w:rPr>
          <w:fldChar w:fldCharType="separate"/>
        </w:r>
        <w:r w:rsidR="00442C9C">
          <w:rPr>
            <w:noProof/>
            <w:webHidden/>
          </w:rPr>
          <w:t>14</w:t>
        </w:r>
        <w:r>
          <w:rPr>
            <w:noProof/>
            <w:webHidden/>
          </w:rPr>
          <w:fldChar w:fldCharType="end"/>
        </w:r>
      </w:hyperlink>
    </w:p>
    <w:p w:rsidR="00442C9C" w:rsidRDefault="00B505C0">
      <w:pPr>
        <w:pStyle w:val="TOC7"/>
        <w:rPr>
          <w:rFonts w:asciiTheme="minorHAnsi" w:eastAsiaTheme="minorEastAsia" w:hAnsiTheme="minorHAnsi" w:cstheme="minorBidi"/>
          <w:noProof/>
          <w:szCs w:val="22"/>
          <w:lang w:eastAsia="en-NZ"/>
        </w:rPr>
      </w:pPr>
      <w:hyperlink w:anchor="_Toc434928931" w:history="1">
        <w:r w:rsidR="00442C9C" w:rsidRPr="00FA6BD8">
          <w:rPr>
            <w:rStyle w:val="Hyperlink"/>
            <w:noProof/>
          </w:rPr>
          <w:t>A.5 Privacy, information sharing, and vetting</w:t>
        </w:r>
        <w:r w:rsidR="00442C9C">
          <w:rPr>
            <w:noProof/>
            <w:webHidden/>
          </w:rPr>
          <w:tab/>
        </w:r>
        <w:r>
          <w:rPr>
            <w:noProof/>
            <w:webHidden/>
          </w:rPr>
          <w:fldChar w:fldCharType="begin"/>
        </w:r>
        <w:r w:rsidR="00442C9C">
          <w:rPr>
            <w:noProof/>
            <w:webHidden/>
          </w:rPr>
          <w:instrText xml:space="preserve"> PAGEREF _Toc434928931 \h </w:instrText>
        </w:r>
        <w:r>
          <w:rPr>
            <w:noProof/>
            <w:webHidden/>
          </w:rPr>
        </w:r>
        <w:r>
          <w:rPr>
            <w:noProof/>
            <w:webHidden/>
          </w:rPr>
          <w:fldChar w:fldCharType="separate"/>
        </w:r>
        <w:r w:rsidR="00442C9C">
          <w:rPr>
            <w:noProof/>
            <w:webHidden/>
          </w:rPr>
          <w:t>15</w:t>
        </w:r>
        <w:r>
          <w:rPr>
            <w:noProof/>
            <w:webHidden/>
          </w:rPr>
          <w:fldChar w:fldCharType="end"/>
        </w:r>
      </w:hyperlink>
    </w:p>
    <w:p w:rsidR="00442C9C" w:rsidRDefault="00B505C0">
      <w:pPr>
        <w:pStyle w:val="TOC6"/>
        <w:rPr>
          <w:rFonts w:asciiTheme="minorHAnsi" w:eastAsiaTheme="minorEastAsia" w:hAnsiTheme="minorHAnsi" w:cstheme="minorBidi"/>
          <w:noProof/>
          <w:szCs w:val="22"/>
          <w:lang w:eastAsia="en-NZ"/>
        </w:rPr>
      </w:pPr>
      <w:hyperlink w:anchor="_Toc434928932" w:history="1">
        <w:r w:rsidR="00442C9C" w:rsidRPr="00FA6BD8">
          <w:rPr>
            <w:rStyle w:val="Hyperlink"/>
            <w:noProof/>
          </w:rPr>
          <w:t>Appendix B Items eligible for cost reimbursement</w:t>
        </w:r>
        <w:r w:rsidR="00442C9C">
          <w:rPr>
            <w:noProof/>
            <w:webHidden/>
          </w:rPr>
          <w:tab/>
        </w:r>
        <w:r>
          <w:rPr>
            <w:noProof/>
            <w:webHidden/>
          </w:rPr>
          <w:fldChar w:fldCharType="begin"/>
        </w:r>
        <w:r w:rsidR="00442C9C">
          <w:rPr>
            <w:noProof/>
            <w:webHidden/>
          </w:rPr>
          <w:instrText xml:space="preserve"> PAGEREF _Toc434928932 \h </w:instrText>
        </w:r>
        <w:r>
          <w:rPr>
            <w:noProof/>
            <w:webHidden/>
          </w:rPr>
        </w:r>
        <w:r>
          <w:rPr>
            <w:noProof/>
            <w:webHidden/>
          </w:rPr>
          <w:fldChar w:fldCharType="separate"/>
        </w:r>
        <w:r w:rsidR="00442C9C">
          <w:rPr>
            <w:noProof/>
            <w:webHidden/>
          </w:rPr>
          <w:t>18</w:t>
        </w:r>
        <w:r>
          <w:rPr>
            <w:noProof/>
            <w:webHidden/>
          </w:rPr>
          <w:fldChar w:fldCharType="end"/>
        </w:r>
      </w:hyperlink>
    </w:p>
    <w:p w:rsidR="00442C9C" w:rsidRDefault="00B505C0">
      <w:pPr>
        <w:pStyle w:val="TOC6"/>
        <w:rPr>
          <w:rFonts w:asciiTheme="minorHAnsi" w:eastAsiaTheme="minorEastAsia" w:hAnsiTheme="minorHAnsi" w:cstheme="minorBidi"/>
          <w:noProof/>
          <w:szCs w:val="22"/>
          <w:lang w:eastAsia="en-NZ"/>
        </w:rPr>
      </w:pPr>
      <w:hyperlink w:anchor="_Toc434928933" w:history="1">
        <w:r w:rsidR="00442C9C" w:rsidRPr="00FA6BD8">
          <w:rPr>
            <w:rStyle w:val="Hyperlink"/>
            <w:noProof/>
          </w:rPr>
          <w:t>Appendix C Example grocery list</w:t>
        </w:r>
        <w:r w:rsidR="00442C9C">
          <w:rPr>
            <w:noProof/>
            <w:webHidden/>
          </w:rPr>
          <w:tab/>
        </w:r>
        <w:r>
          <w:rPr>
            <w:noProof/>
            <w:webHidden/>
          </w:rPr>
          <w:fldChar w:fldCharType="begin"/>
        </w:r>
        <w:r w:rsidR="00442C9C">
          <w:rPr>
            <w:noProof/>
            <w:webHidden/>
          </w:rPr>
          <w:instrText xml:space="preserve"> PAGEREF _Toc434928933 \h </w:instrText>
        </w:r>
        <w:r>
          <w:rPr>
            <w:noProof/>
            <w:webHidden/>
          </w:rPr>
        </w:r>
        <w:r>
          <w:rPr>
            <w:noProof/>
            <w:webHidden/>
          </w:rPr>
          <w:fldChar w:fldCharType="separate"/>
        </w:r>
        <w:r w:rsidR="00442C9C">
          <w:rPr>
            <w:noProof/>
            <w:webHidden/>
          </w:rPr>
          <w:t>19</w:t>
        </w:r>
        <w:r>
          <w:rPr>
            <w:noProof/>
            <w:webHidden/>
          </w:rPr>
          <w:fldChar w:fldCharType="end"/>
        </w:r>
      </w:hyperlink>
    </w:p>
    <w:p w:rsidR="007E530A" w:rsidRPr="007E530A" w:rsidRDefault="00B505C0" w:rsidP="007E530A">
      <w:r>
        <w:fldChar w:fldCharType="end"/>
      </w:r>
    </w:p>
    <w:p w:rsidR="00226EE2" w:rsidRPr="003A3769" w:rsidRDefault="00226EE2" w:rsidP="00226EE2">
      <w:pPr>
        <w:pStyle w:val="Heading6"/>
      </w:pPr>
      <w:bookmarkStart w:id="36" w:name="_Ref434306428"/>
      <w:bookmarkStart w:id="37" w:name="_Ref434306429"/>
      <w:bookmarkStart w:id="38" w:name="_Ref434306431"/>
      <w:bookmarkStart w:id="39" w:name="_Toc434928926"/>
      <w:bookmarkStart w:id="40" w:name="_Toc434928990"/>
      <w:r w:rsidRPr="003A3769">
        <w:lastRenderedPageBreak/>
        <w:t>Information applicable to all welfare services</w:t>
      </w:r>
      <w:bookmarkEnd w:id="29"/>
      <w:bookmarkEnd w:id="30"/>
      <w:bookmarkEnd w:id="31"/>
      <w:bookmarkEnd w:id="32"/>
      <w:bookmarkEnd w:id="33"/>
      <w:bookmarkEnd w:id="34"/>
      <w:bookmarkEnd w:id="35"/>
      <w:bookmarkEnd w:id="36"/>
      <w:bookmarkEnd w:id="37"/>
      <w:bookmarkEnd w:id="38"/>
      <w:bookmarkEnd w:id="39"/>
      <w:bookmarkEnd w:id="4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41" w:name="_Toc433815249"/>
      <w:bookmarkStart w:id="42" w:name="_Toc434928927"/>
      <w:r w:rsidRPr="003A3769">
        <w:t>Welfare services agency representation</w:t>
      </w:r>
      <w:bookmarkEnd w:id="41"/>
      <w:bookmarkEnd w:id="4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43" w:name="_Toc433815250"/>
      <w:bookmarkStart w:id="44" w:name="_Toc434928928"/>
      <w:r w:rsidRPr="00515749">
        <w:t>Human rights</w:t>
      </w:r>
      <w:bookmarkEnd w:id="43"/>
      <w:bookmarkEnd w:id="4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30"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31"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45" w:name="_Toc433815251"/>
      <w:bookmarkStart w:id="46" w:name="_Toc434928929"/>
      <w:r w:rsidRPr="003A3769">
        <w:t>Working with communities</w:t>
      </w:r>
      <w:bookmarkEnd w:id="45"/>
      <w:bookmarkEnd w:id="4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47" w:name="_Ref421783306"/>
      <w:bookmarkStart w:id="48" w:name="_Ref421783314"/>
      <w:bookmarkStart w:id="49" w:name="_Ref421783321"/>
      <w:bookmarkStart w:id="50" w:name="_Toc433815252"/>
      <w:bookmarkStart w:id="51" w:name="_Toc434928930"/>
      <w:r w:rsidRPr="003A3769">
        <w:t>Minimum standards in the Sphere Handbook</w:t>
      </w:r>
      <w:bookmarkEnd w:id="47"/>
      <w:bookmarkEnd w:id="48"/>
      <w:bookmarkEnd w:id="49"/>
      <w:bookmarkEnd w:id="50"/>
      <w:bookmarkEnd w:id="5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7752"/>
      </w:tblGrid>
      <w:tr w:rsidR="00226EE2" w:rsidRPr="003A3769" w:rsidTr="002D65B1">
        <w:trPr>
          <w:cantSplit/>
        </w:trPr>
        <w:tc>
          <w:tcPr>
            <w:tcW w:w="1021" w:type="pct"/>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3979" w:type="pct"/>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32"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2D65B1">
        <w:trPr>
          <w:cantSplit/>
        </w:trPr>
        <w:tc>
          <w:tcPr>
            <w:tcW w:w="1021" w:type="pct"/>
            <w:tcMar>
              <w:right w:w="227" w:type="dxa"/>
            </w:tcMar>
          </w:tcPr>
          <w:p w:rsidR="00226EE2" w:rsidRPr="003A3769" w:rsidRDefault="00226EE2" w:rsidP="00515749">
            <w:pPr>
              <w:pStyle w:val="LHcolumn"/>
              <w:rPr>
                <w:noProof/>
              </w:rPr>
            </w:pPr>
            <w:r w:rsidRPr="003A3769">
              <w:rPr>
                <w:noProof/>
              </w:rPr>
              <w:lastRenderedPageBreak/>
              <w:t>Key considerations</w:t>
            </w:r>
          </w:p>
        </w:tc>
        <w:tc>
          <w:tcPr>
            <w:tcW w:w="3979" w:type="pct"/>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B505C0">
              <w:fldChar w:fldCharType="begin"/>
            </w:r>
            <w:r>
              <w:instrText xml:space="preserve"> REF _Ref430697173 \h </w:instrText>
            </w:r>
            <w:r w:rsidR="00B505C0">
              <w:fldChar w:fldCharType="separate"/>
            </w:r>
            <w:r w:rsidR="00442C9C" w:rsidRPr="003A3769">
              <w:t xml:space="preserve">Table </w:t>
            </w:r>
            <w:r w:rsidR="00442C9C">
              <w:rPr>
                <w:noProof/>
              </w:rPr>
              <w:t>3</w:t>
            </w:r>
            <w:r w:rsidR="00B505C0">
              <w:fldChar w:fldCharType="end"/>
            </w:r>
            <w:r w:rsidRPr="003A3769">
              <w:t>.</w:t>
            </w:r>
          </w:p>
          <w:p w:rsidR="00226EE2" w:rsidRPr="003A3769" w:rsidRDefault="00226EE2" w:rsidP="00515749">
            <w:pPr>
              <w:pStyle w:val="Caption"/>
              <w:keepNext/>
            </w:pPr>
            <w:bookmarkStart w:id="52" w:name="_Ref430697173"/>
            <w:r w:rsidRPr="003A3769">
              <w:t xml:space="preserve">Table </w:t>
            </w:r>
            <w:r w:rsidR="00B505C0">
              <w:fldChar w:fldCharType="begin"/>
            </w:r>
            <w:r w:rsidR="00477527">
              <w:instrText xml:space="preserve"> SEQ Table \* ARABIC </w:instrText>
            </w:r>
            <w:r w:rsidR="00B505C0">
              <w:fldChar w:fldCharType="separate"/>
            </w:r>
            <w:r w:rsidR="00442C9C">
              <w:rPr>
                <w:noProof/>
              </w:rPr>
              <w:t>3</w:t>
            </w:r>
            <w:r w:rsidR="00B505C0">
              <w:rPr>
                <w:noProof/>
              </w:rPr>
              <w:fldChar w:fldCharType="end"/>
            </w:r>
            <w:bookmarkEnd w:id="52"/>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906"/>
              <w:gridCol w:w="4600"/>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53" w:name="_Ref419707546"/>
      <w:bookmarkStart w:id="54" w:name="_Ref419707556"/>
      <w:bookmarkStart w:id="55" w:name="_Ref419707773"/>
      <w:bookmarkStart w:id="56" w:name="_Ref419707777"/>
      <w:bookmarkStart w:id="57" w:name="_Ref419707784"/>
      <w:bookmarkStart w:id="58" w:name="_Toc433815253"/>
      <w:bookmarkStart w:id="59" w:name="_Toc434928931"/>
      <w:r w:rsidRPr="003A3769">
        <w:t>Privacy, information sharing, and vetting</w:t>
      </w:r>
      <w:bookmarkEnd w:id="53"/>
      <w:bookmarkEnd w:id="54"/>
      <w:bookmarkEnd w:id="55"/>
      <w:bookmarkEnd w:id="56"/>
      <w:bookmarkEnd w:id="57"/>
      <w:bookmarkEnd w:id="58"/>
      <w:bookmarkEnd w:id="5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33"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34" w:history="1">
              <w:r w:rsidRPr="003A3769">
                <w:rPr>
                  <w:rStyle w:val="Hyperlink"/>
                </w:rPr>
                <w:t>www.privacy.org.nz</w:t>
              </w:r>
            </w:hyperlink>
            <w:r w:rsidRPr="003A3769">
              <w:t xml:space="preserve"> .</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35"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36"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37"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8"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9"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1F04AB" w:rsidRPr="003A3769" w:rsidRDefault="001F04AB" w:rsidP="001F04AB">
      <w:pPr>
        <w:pStyle w:val="Heading6"/>
      </w:pPr>
      <w:bookmarkStart w:id="60" w:name="_Ref430801552"/>
      <w:bookmarkStart w:id="61" w:name="_Ref430801554"/>
      <w:bookmarkStart w:id="62" w:name="_Toc433815397"/>
      <w:bookmarkStart w:id="63" w:name="_Toc434928932"/>
      <w:bookmarkStart w:id="64" w:name="_Toc434928991"/>
      <w:r w:rsidRPr="003A3769">
        <w:lastRenderedPageBreak/>
        <w:t>Items eligible for cost reimbursement</w:t>
      </w:r>
      <w:bookmarkEnd w:id="60"/>
      <w:bookmarkEnd w:id="61"/>
      <w:bookmarkEnd w:id="62"/>
      <w:bookmarkEnd w:id="63"/>
      <w:bookmarkEnd w:id="6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1F04AB" w:rsidRPr="003A3769" w:rsidTr="001822C7">
        <w:trPr>
          <w:cantSplit/>
        </w:trPr>
        <w:tc>
          <w:tcPr>
            <w:tcW w:w="1927" w:type="dxa"/>
            <w:tcMar>
              <w:right w:w="227" w:type="dxa"/>
            </w:tcMar>
          </w:tcPr>
          <w:p w:rsidR="001F04AB" w:rsidRPr="003A3769" w:rsidRDefault="001F04AB" w:rsidP="001822C7">
            <w:pPr>
              <w:pStyle w:val="LHcolumn"/>
            </w:pPr>
          </w:p>
        </w:tc>
        <w:tc>
          <w:tcPr>
            <w:tcW w:w="7706" w:type="dxa"/>
          </w:tcPr>
          <w:p w:rsidR="001F04AB" w:rsidRPr="000E27AA" w:rsidRDefault="001F04AB" w:rsidP="001822C7">
            <w:pPr>
              <w:rPr>
                <w:color w:val="000000"/>
              </w:rPr>
            </w:pPr>
            <w:r w:rsidRPr="003A3769">
              <w:t xml:space="preserve">The </w:t>
            </w:r>
            <w:r w:rsidRPr="003A3769">
              <w:rPr>
                <w:spacing w:val="-5"/>
              </w:rPr>
              <w:t>f</w:t>
            </w:r>
            <w:r w:rsidRPr="003A3769">
              <w:t>oll</w:t>
            </w:r>
            <w:r w:rsidRPr="003A3769">
              <w:rPr>
                <w:spacing w:val="-3"/>
              </w:rPr>
              <w:t>o</w:t>
            </w:r>
            <w:r w:rsidRPr="003A3769">
              <w:t>wing table p</w:t>
            </w:r>
            <w:r w:rsidRPr="003A3769">
              <w:rPr>
                <w:spacing w:val="-4"/>
              </w:rPr>
              <w:t>ro</w:t>
            </w:r>
            <w:r w:rsidRPr="003A3769">
              <w:t>vides an indication of what m</w:t>
            </w:r>
            <w:r w:rsidRPr="003A3769">
              <w:rPr>
                <w:spacing w:val="-5"/>
              </w:rPr>
              <w:t>a</w:t>
            </w:r>
            <w:r w:rsidRPr="003A3769">
              <w:t>y be considered reasonable and eligible for</w:t>
            </w:r>
            <w:r>
              <w:t xml:space="preserve"> cost</w:t>
            </w:r>
            <w:r w:rsidRPr="003A3769">
              <w:t xml:space="preserve"> reimbursement to a local authority. </w:t>
            </w:r>
          </w:p>
        </w:tc>
      </w:tr>
    </w:tbl>
    <w:p w:rsidR="001F04AB" w:rsidRDefault="001F04AB" w:rsidP="001F04AB">
      <w:pPr>
        <w:pStyle w:val="Caption"/>
        <w:keepNext/>
      </w:pPr>
      <w:r>
        <w:t xml:space="preserve">Table </w:t>
      </w:r>
      <w:r w:rsidR="00B505C0">
        <w:fldChar w:fldCharType="begin"/>
      </w:r>
      <w:r w:rsidR="00477527">
        <w:instrText xml:space="preserve"> SEQ Table \* ARABIC </w:instrText>
      </w:r>
      <w:r w:rsidR="00B505C0">
        <w:fldChar w:fldCharType="separate"/>
      </w:r>
      <w:r w:rsidR="00442C9C">
        <w:rPr>
          <w:noProof/>
        </w:rPr>
        <w:t>4</w:t>
      </w:r>
      <w:r w:rsidR="00B505C0">
        <w:rPr>
          <w:noProof/>
        </w:rPr>
        <w:fldChar w:fldCharType="end"/>
      </w:r>
      <w:r>
        <w:t xml:space="preserve"> Eligible items for cost reimbursement </w:t>
      </w:r>
    </w:p>
    <w:tbl>
      <w:tblPr>
        <w:tblStyle w:val="TableGrid"/>
        <w:tblW w:w="0" w:type="auto"/>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701"/>
        <w:gridCol w:w="7932"/>
      </w:tblGrid>
      <w:tr w:rsidR="001F04AB" w:rsidRPr="003A3769" w:rsidTr="001822C7">
        <w:tc>
          <w:tcPr>
            <w:tcW w:w="1701" w:type="dxa"/>
            <w:tcBorders>
              <w:right w:val="single" w:sz="6" w:space="0" w:color="FFFFFF" w:themeColor="background1"/>
            </w:tcBorders>
            <w:shd w:val="clear" w:color="auto" w:fill="005A9B" w:themeFill="background2"/>
          </w:tcPr>
          <w:p w:rsidR="001F04AB" w:rsidRPr="003A3769" w:rsidRDefault="001F04AB" w:rsidP="001822C7">
            <w:pPr>
              <w:pStyle w:val="Tableheading"/>
            </w:pPr>
            <w:r w:rsidRPr="003A3769">
              <w:t>Item</w:t>
            </w:r>
          </w:p>
        </w:tc>
        <w:tc>
          <w:tcPr>
            <w:tcW w:w="7932"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1F04AB" w:rsidRPr="003A3769" w:rsidRDefault="001F04AB" w:rsidP="001822C7">
            <w:pPr>
              <w:pStyle w:val="Tableheading"/>
            </w:pPr>
            <w:r w:rsidRPr="003A3769">
              <w:t>Detail</w:t>
            </w:r>
          </w:p>
        </w:tc>
      </w:tr>
      <w:tr w:rsidR="001F04AB" w:rsidRPr="003A3769" w:rsidTr="001822C7">
        <w:tc>
          <w:tcPr>
            <w:tcW w:w="1701" w:type="dxa"/>
          </w:tcPr>
          <w:p w:rsidR="001F04AB" w:rsidRPr="003A3769" w:rsidRDefault="001F04AB" w:rsidP="001822C7">
            <w:pPr>
              <w:pStyle w:val="Tablenormal0"/>
            </w:pPr>
            <w:r w:rsidRPr="003A3769">
              <w:t>Meals and catering</w:t>
            </w:r>
          </w:p>
        </w:tc>
        <w:tc>
          <w:tcPr>
            <w:tcW w:w="7932" w:type="dxa"/>
            <w:tcBorders>
              <w:top w:val="single" w:sz="6" w:space="0" w:color="005A9B" w:themeColor="background2"/>
            </w:tcBorders>
          </w:tcPr>
          <w:p w:rsidR="001F04AB" w:rsidRPr="003A3769" w:rsidRDefault="001F04AB" w:rsidP="001822C7">
            <w:pPr>
              <w:pStyle w:val="Tablenormal0"/>
            </w:pPr>
            <w:r w:rsidRPr="003A3769">
              <w:t xml:space="preserve">Where emergency meals are supplied, reasonable costs </w:t>
            </w:r>
            <w:r w:rsidRPr="003A3769">
              <w:rPr>
                <w:spacing w:val="-7"/>
              </w:rPr>
              <w:t>f</w:t>
            </w:r>
            <w:r w:rsidRPr="003A3769">
              <w:t>or the meal will be m</w:t>
            </w:r>
            <w:r w:rsidRPr="003A3769">
              <w:rPr>
                <w:spacing w:val="-1"/>
              </w:rPr>
              <w:t>e</w:t>
            </w:r>
            <w:r w:rsidRPr="003A3769">
              <w:t>t:</w:t>
            </w:r>
          </w:p>
          <w:p w:rsidR="001F04AB" w:rsidRPr="003A3769" w:rsidRDefault="001F04AB" w:rsidP="001822C7">
            <w:pPr>
              <w:pStyle w:val="Tablebullet"/>
              <w:rPr>
                <w:color w:val="000000"/>
              </w:rPr>
            </w:pPr>
            <w:r w:rsidRPr="003A3769">
              <w:t>meals p</w:t>
            </w:r>
            <w:r w:rsidRPr="003A3769">
              <w:rPr>
                <w:spacing w:val="-4"/>
              </w:rPr>
              <w:t>ro</w:t>
            </w:r>
            <w:r w:rsidRPr="003A3769">
              <w:t xml:space="preserve">vided en-masse in a dining </w:t>
            </w:r>
            <w:r w:rsidRPr="003A3769">
              <w:rPr>
                <w:spacing w:val="-2"/>
              </w:rPr>
              <w:t>f</w:t>
            </w:r>
            <w:r w:rsidRPr="003A3769">
              <w:t xml:space="preserve">acility </w:t>
            </w:r>
          </w:p>
          <w:p w:rsidR="001F04AB" w:rsidRPr="003A3769" w:rsidRDefault="001F04AB" w:rsidP="001822C7">
            <w:pPr>
              <w:pStyle w:val="Tablebullet"/>
              <w:rPr>
                <w:color w:val="000000"/>
              </w:rPr>
            </w:pPr>
            <w:r>
              <w:t>affected people</w:t>
            </w:r>
            <w:r w:rsidRPr="003A3769">
              <w:rPr>
                <w:spacing w:val="-7"/>
              </w:rPr>
              <w:t xml:space="preserve"> </w:t>
            </w:r>
            <w:r w:rsidRPr="003A3769">
              <w:t>dine</w:t>
            </w:r>
            <w:r w:rsidRPr="003A3769">
              <w:rPr>
                <w:spacing w:val="-4"/>
              </w:rPr>
              <w:t xml:space="preserve"> </w:t>
            </w:r>
            <w:r w:rsidRPr="003A3769">
              <w:t>in an</w:t>
            </w:r>
            <w:r w:rsidRPr="003A3769">
              <w:rPr>
                <w:spacing w:val="-2"/>
              </w:rPr>
              <w:t xml:space="preserve"> </w:t>
            </w:r>
            <w:r w:rsidRPr="003A3769">
              <w:t>agreed</w:t>
            </w:r>
            <w:r w:rsidRPr="003A3769">
              <w:rPr>
                <w:spacing w:val="-6"/>
              </w:rPr>
              <w:t xml:space="preserve"> </w:t>
            </w:r>
            <w:r w:rsidRPr="003A3769">
              <w:t>upon</w:t>
            </w:r>
            <w:r w:rsidRPr="003A3769">
              <w:rPr>
                <w:spacing w:val="-5"/>
              </w:rPr>
              <w:t xml:space="preserve"> </w:t>
            </w:r>
            <w:r w:rsidRPr="003A3769">
              <w:t>restaurant</w:t>
            </w:r>
          </w:p>
          <w:p w:rsidR="001F04AB" w:rsidRPr="003A3769" w:rsidRDefault="001F04AB" w:rsidP="001822C7">
            <w:pPr>
              <w:pStyle w:val="Tablebullet"/>
              <w:rPr>
                <w:rFonts w:ascii="Franklin Gothic Book" w:hAnsi="Franklin Gothic Book" w:cs="Franklin Gothic Book"/>
                <w:color w:val="000000"/>
              </w:rPr>
            </w:pPr>
            <w:proofErr w:type="gramStart"/>
            <w:r>
              <w:t>on-site</w:t>
            </w:r>
            <w:proofErr w:type="gramEnd"/>
            <w:r>
              <w:t xml:space="preserve"> e</w:t>
            </w:r>
            <w:r w:rsidRPr="003A3769">
              <w:t>mergency ca</w:t>
            </w:r>
            <w:r w:rsidRPr="003A3769">
              <w:rPr>
                <w:rFonts w:ascii="Franklin Gothic Book" w:hAnsi="Franklin Gothic Book" w:cs="Franklin Gothic Book"/>
                <w:color w:val="231F20"/>
                <w:spacing w:val="-4"/>
              </w:rPr>
              <w:t>t</w:t>
            </w:r>
            <w:r w:rsidRPr="003A3769">
              <w:t>ering including the transpo</w:t>
            </w:r>
            <w:r w:rsidRPr="003A3769">
              <w:rPr>
                <w:rFonts w:ascii="Franklin Gothic Book" w:hAnsi="Franklin Gothic Book" w:cs="Franklin Gothic Book"/>
                <w:color w:val="231F20"/>
                <w:spacing w:val="7"/>
              </w:rPr>
              <w:t>r</w:t>
            </w:r>
            <w:r w:rsidRPr="003A3769">
              <w:t>t of ca</w:t>
            </w:r>
            <w:r w:rsidRPr="003A3769">
              <w:rPr>
                <w:rFonts w:ascii="Franklin Gothic Book" w:hAnsi="Franklin Gothic Book" w:cs="Franklin Gothic Book"/>
                <w:color w:val="231F20"/>
                <w:spacing w:val="-4"/>
              </w:rPr>
              <w:t>t</w:t>
            </w:r>
            <w:r w:rsidRPr="003A3769">
              <w:t>ering pe</w:t>
            </w:r>
            <w:r w:rsidRPr="003A3769">
              <w:rPr>
                <w:rFonts w:ascii="Franklin Gothic Book" w:hAnsi="Franklin Gothic Book" w:cs="Franklin Gothic Book"/>
                <w:color w:val="231F20"/>
                <w:spacing w:val="1"/>
              </w:rPr>
              <w:t>r</w:t>
            </w:r>
            <w:r w:rsidRPr="003A3769">
              <w:t>sonnel.</w:t>
            </w:r>
          </w:p>
        </w:tc>
      </w:tr>
      <w:tr w:rsidR="001F04AB" w:rsidRPr="003A3769" w:rsidTr="001822C7">
        <w:tc>
          <w:tcPr>
            <w:tcW w:w="1701" w:type="dxa"/>
          </w:tcPr>
          <w:p w:rsidR="001F04AB" w:rsidRPr="003A3769" w:rsidRDefault="001F04AB" w:rsidP="001822C7">
            <w:pPr>
              <w:pStyle w:val="Tablenormal0"/>
              <w:rPr>
                <w:color w:val="000000"/>
              </w:rPr>
            </w:pPr>
            <w:r w:rsidRPr="003A3769">
              <w:t>Groce</w:t>
            </w:r>
            <w:r w:rsidRPr="003A3769">
              <w:rPr>
                <w:spacing w:val="5"/>
              </w:rPr>
              <w:t>r</w:t>
            </w:r>
            <w:r w:rsidRPr="003A3769">
              <w:t>y i</w:t>
            </w:r>
            <w:r w:rsidRPr="003A3769">
              <w:rPr>
                <w:spacing w:val="-1"/>
              </w:rPr>
              <w:t>t</w:t>
            </w:r>
            <w:r w:rsidRPr="003A3769">
              <w:t>ems</w:t>
            </w:r>
          </w:p>
          <w:p w:rsidR="001F04AB" w:rsidRPr="003A3769" w:rsidRDefault="001F04AB" w:rsidP="001822C7">
            <w:pPr>
              <w:pStyle w:val="Tablenormal0"/>
            </w:pPr>
          </w:p>
        </w:tc>
        <w:tc>
          <w:tcPr>
            <w:tcW w:w="7932" w:type="dxa"/>
          </w:tcPr>
          <w:p w:rsidR="001F04AB" w:rsidRPr="003A3769" w:rsidRDefault="001F04AB" w:rsidP="001822C7">
            <w:pPr>
              <w:pStyle w:val="Tablenormal0"/>
            </w:pPr>
            <w:r w:rsidRPr="003A3769">
              <w:t>The cost of standard grocery items may also be met; eligible items include:</w:t>
            </w:r>
          </w:p>
          <w:p w:rsidR="001F04AB" w:rsidRPr="003A3769" w:rsidRDefault="001F04AB" w:rsidP="001822C7">
            <w:pPr>
              <w:pStyle w:val="Tablebullet"/>
              <w:rPr>
                <w:color w:val="000000"/>
              </w:rPr>
            </w:pPr>
            <w:r w:rsidRPr="003A3769">
              <w:t xml:space="preserve">general </w:t>
            </w:r>
            <w:r w:rsidRPr="003A3769">
              <w:rPr>
                <w:spacing w:val="-4"/>
              </w:rPr>
              <w:t>e</w:t>
            </w:r>
            <w:r w:rsidRPr="003A3769">
              <w:rPr>
                <w:spacing w:val="-3"/>
              </w:rPr>
              <w:t>v</w:t>
            </w:r>
            <w:r w:rsidRPr="003A3769">
              <w:t>e</w:t>
            </w:r>
            <w:r w:rsidRPr="003A3769">
              <w:rPr>
                <w:spacing w:val="6"/>
              </w:rPr>
              <w:t>r</w:t>
            </w:r>
            <w:r w:rsidRPr="003A3769">
              <w:t>y d</w:t>
            </w:r>
            <w:r w:rsidRPr="003A3769">
              <w:rPr>
                <w:spacing w:val="-5"/>
              </w:rPr>
              <w:t>a</w:t>
            </w:r>
            <w:r w:rsidRPr="003A3769">
              <w:t xml:space="preserve">y </w:t>
            </w:r>
            <w:r w:rsidRPr="003A3769">
              <w:rPr>
                <w:spacing w:val="-5"/>
              </w:rPr>
              <w:t>f</w:t>
            </w:r>
            <w:r w:rsidRPr="003A3769">
              <w:t>ood i</w:t>
            </w:r>
            <w:r w:rsidRPr="003A3769">
              <w:rPr>
                <w:spacing w:val="-4"/>
              </w:rPr>
              <w:t>t</w:t>
            </w:r>
            <w:r w:rsidRPr="003A3769">
              <w:t xml:space="preserve">ems, e.g. meat, fresh </w:t>
            </w:r>
            <w:r w:rsidRPr="003A3769">
              <w:rPr>
                <w:spacing w:val="-4"/>
              </w:rPr>
              <w:t>v</w:t>
            </w:r>
            <w:r w:rsidRPr="003A3769">
              <w:t>eg</w:t>
            </w:r>
            <w:r w:rsidRPr="003A3769">
              <w:rPr>
                <w:spacing w:val="-1"/>
              </w:rPr>
              <w:t>e</w:t>
            </w:r>
            <w:r w:rsidRPr="003A3769">
              <w:t>tables, canned goods, UHT</w:t>
            </w:r>
          </w:p>
          <w:p w:rsidR="001F04AB" w:rsidRPr="003A3769" w:rsidRDefault="001F04AB" w:rsidP="001822C7">
            <w:pPr>
              <w:pStyle w:val="Tablebullet"/>
              <w:rPr>
                <w:color w:val="000000"/>
              </w:rPr>
            </w:pPr>
            <w:r w:rsidRPr="003A3769">
              <w:t>mil</w:t>
            </w:r>
            <w:r w:rsidRPr="003A3769">
              <w:rPr>
                <w:spacing w:val="1"/>
              </w:rPr>
              <w:t>k</w:t>
            </w:r>
            <w:r w:rsidRPr="003A3769">
              <w:t xml:space="preserve">, infant </w:t>
            </w:r>
            <w:r w:rsidRPr="003A3769">
              <w:rPr>
                <w:spacing w:val="-5"/>
              </w:rPr>
              <w:t>f</w:t>
            </w:r>
            <w:r w:rsidRPr="003A3769">
              <w:t>oods</w:t>
            </w:r>
            <w:r>
              <w:t xml:space="preserve"> (including feeding equipment and water)</w:t>
            </w:r>
            <w:r w:rsidRPr="003A3769">
              <w:t>, cereals, crisps,</w:t>
            </w:r>
            <w:r>
              <w:t xml:space="preserve"> fruit or muesli bars, biscuits</w:t>
            </w:r>
          </w:p>
          <w:p w:rsidR="001F04AB" w:rsidRPr="003A3769" w:rsidRDefault="001F04AB" w:rsidP="001822C7">
            <w:pPr>
              <w:pStyle w:val="Tablebullet"/>
              <w:rPr>
                <w:color w:val="000000"/>
              </w:rPr>
            </w:pPr>
            <w:r w:rsidRPr="003A3769">
              <w:t>sanita</w:t>
            </w:r>
            <w:r w:rsidRPr="003A3769">
              <w:rPr>
                <w:spacing w:val="6"/>
              </w:rPr>
              <w:t>r</w:t>
            </w:r>
            <w:r w:rsidRPr="003A3769">
              <w:t xml:space="preserve">y and </w:t>
            </w:r>
            <w:r w:rsidRPr="003A3769">
              <w:rPr>
                <w:spacing w:val="-4"/>
              </w:rPr>
              <w:t>h</w:t>
            </w:r>
            <w:r w:rsidRPr="003A3769">
              <w:rPr>
                <w:spacing w:val="-2"/>
              </w:rPr>
              <w:t>y</w:t>
            </w:r>
            <w:r w:rsidRPr="003A3769">
              <w:t>giene i</w:t>
            </w:r>
            <w:r w:rsidRPr="003A3769">
              <w:rPr>
                <w:spacing w:val="-4"/>
              </w:rPr>
              <w:t>t</w:t>
            </w:r>
            <w:r w:rsidRPr="003A3769">
              <w:t xml:space="preserve">ems, e.g. </w:t>
            </w:r>
            <w:r w:rsidRPr="003A3769">
              <w:rPr>
                <w:spacing w:val="-4"/>
              </w:rPr>
              <w:t>t</w:t>
            </w:r>
            <w:r w:rsidRPr="003A3769">
              <w:t>o</w:t>
            </w:r>
            <w:r w:rsidRPr="003A3769">
              <w:rPr>
                <w:spacing w:val="-2"/>
              </w:rPr>
              <w:t>o</w:t>
            </w:r>
            <w:r w:rsidRPr="003A3769">
              <w:t>thpas</w:t>
            </w:r>
            <w:r w:rsidRPr="003A3769">
              <w:rPr>
                <w:spacing w:val="-4"/>
              </w:rPr>
              <w:t>t</w:t>
            </w:r>
            <w:r w:rsidRPr="003A3769">
              <w:t>e, soap, sha</w:t>
            </w:r>
            <w:r w:rsidRPr="003A3769">
              <w:rPr>
                <w:spacing w:val="-2"/>
              </w:rPr>
              <w:t>m</w:t>
            </w:r>
            <w:r w:rsidRPr="003A3769">
              <w:t xml:space="preserve">poo, deodorant, </w:t>
            </w:r>
            <w:r w:rsidRPr="003A3769">
              <w:rPr>
                <w:spacing w:val="-4"/>
              </w:rPr>
              <w:t>t</w:t>
            </w:r>
            <w:r w:rsidRPr="003A3769">
              <w:t>oil</w:t>
            </w:r>
            <w:r w:rsidRPr="003A3769">
              <w:rPr>
                <w:spacing w:val="-1"/>
              </w:rPr>
              <w:t>e</w:t>
            </w:r>
            <w:r w:rsidRPr="003A3769">
              <w:t>t pape</w:t>
            </w:r>
            <w:r w:rsidRPr="003A3769">
              <w:rPr>
                <w:spacing w:val="-12"/>
              </w:rPr>
              <w:t>r</w:t>
            </w:r>
            <w:r w:rsidRPr="003A3769">
              <w:t>, sanita</w:t>
            </w:r>
            <w:r w:rsidRPr="003A3769">
              <w:rPr>
                <w:spacing w:val="6"/>
              </w:rPr>
              <w:t>r</w:t>
            </w:r>
            <w:r w:rsidRPr="003A3769">
              <w:t>y p</w:t>
            </w:r>
            <w:r w:rsidRPr="003A3769">
              <w:rPr>
                <w:spacing w:val="-4"/>
              </w:rPr>
              <w:t>r</w:t>
            </w:r>
            <w:r>
              <w:t>oducts</w:t>
            </w:r>
          </w:p>
          <w:p w:rsidR="001F04AB" w:rsidRPr="003A3769" w:rsidRDefault="001F04AB" w:rsidP="001822C7">
            <w:pPr>
              <w:pStyle w:val="Tablebullet"/>
              <w:rPr>
                <w:color w:val="000000"/>
              </w:rPr>
            </w:pPr>
            <w:proofErr w:type="gramStart"/>
            <w:r w:rsidRPr="003A3769">
              <w:t>cleaning</w:t>
            </w:r>
            <w:proofErr w:type="gramEnd"/>
            <w:r w:rsidRPr="003A3769">
              <w:t xml:space="preserve"> p</w:t>
            </w:r>
            <w:r w:rsidRPr="003A3769">
              <w:rPr>
                <w:spacing w:val="-4"/>
              </w:rPr>
              <w:t>r</w:t>
            </w:r>
            <w:r>
              <w:t>oducts</w:t>
            </w:r>
            <w:r w:rsidRPr="003A3769">
              <w:t xml:space="preserve"> e.g. d</w:t>
            </w:r>
            <w:r w:rsidRPr="003A3769">
              <w:rPr>
                <w:spacing w:val="-2"/>
              </w:rPr>
              <w:t>e</w:t>
            </w:r>
            <w:r w:rsidRPr="003A3769">
              <w:rPr>
                <w:spacing w:val="-4"/>
              </w:rPr>
              <w:t>t</w:t>
            </w:r>
            <w:r w:rsidRPr="003A3769">
              <w:t xml:space="preserve">ergent, </w:t>
            </w:r>
            <w:r w:rsidRPr="003A3769">
              <w:rPr>
                <w:spacing w:val="-3"/>
              </w:rPr>
              <w:t>w</w:t>
            </w:r>
            <w:r w:rsidRPr="003A3769">
              <w:t>ashing p</w:t>
            </w:r>
            <w:r w:rsidRPr="003A3769">
              <w:rPr>
                <w:spacing w:val="-3"/>
              </w:rPr>
              <w:t>o</w:t>
            </w:r>
            <w:r w:rsidRPr="003A3769">
              <w:t>wde</w:t>
            </w:r>
            <w:r w:rsidRPr="003A3769">
              <w:rPr>
                <w:spacing w:val="-12"/>
              </w:rPr>
              <w:t>r</w:t>
            </w:r>
            <w:r w:rsidRPr="003A3769">
              <w:t>, disin</w:t>
            </w:r>
            <w:r w:rsidRPr="003A3769">
              <w:rPr>
                <w:spacing w:val="-5"/>
              </w:rPr>
              <w:t>f</w:t>
            </w:r>
            <w:r w:rsidRPr="003A3769">
              <w:t>ectant</w:t>
            </w:r>
            <w:r>
              <w:t>.</w:t>
            </w:r>
          </w:p>
        </w:tc>
      </w:tr>
      <w:tr w:rsidR="001F04AB" w:rsidRPr="003A3769" w:rsidTr="001822C7">
        <w:tc>
          <w:tcPr>
            <w:tcW w:w="1701" w:type="dxa"/>
          </w:tcPr>
          <w:p w:rsidR="001F04AB" w:rsidRPr="003A3769" w:rsidRDefault="001F04AB" w:rsidP="001822C7">
            <w:pPr>
              <w:pStyle w:val="Tablenormal0"/>
            </w:pPr>
            <w:r w:rsidRPr="003A3769">
              <w:t>Other items</w:t>
            </w:r>
          </w:p>
        </w:tc>
        <w:tc>
          <w:tcPr>
            <w:tcW w:w="7932" w:type="dxa"/>
          </w:tcPr>
          <w:p w:rsidR="001F04AB" w:rsidRPr="003A3769" w:rsidRDefault="001F04AB" w:rsidP="001822C7">
            <w:pPr>
              <w:pStyle w:val="Tablenormal0"/>
              <w:rPr>
                <w:color w:val="000000"/>
              </w:rPr>
            </w:pPr>
            <w:r w:rsidRPr="003A3769">
              <w:t>N</w:t>
            </w:r>
            <w:r w:rsidRPr="003A3769">
              <w:rPr>
                <w:spacing w:val="-4"/>
              </w:rPr>
              <w:t>e</w:t>
            </w:r>
            <w:r w:rsidRPr="003A3769">
              <w:t>wspape</w:t>
            </w:r>
            <w:r w:rsidRPr="003A3769">
              <w:rPr>
                <w:spacing w:val="1"/>
              </w:rPr>
              <w:t>r</w:t>
            </w:r>
            <w:r w:rsidRPr="003A3769">
              <w:t>s (</w:t>
            </w:r>
            <w:r w:rsidRPr="003A3769">
              <w:rPr>
                <w:spacing w:val="-3"/>
              </w:rPr>
              <w:t>t</w:t>
            </w:r>
            <w:r w:rsidRPr="003A3769">
              <w:t xml:space="preserve">o </w:t>
            </w:r>
            <w:r w:rsidRPr="003A3769">
              <w:rPr>
                <w:spacing w:val="-5"/>
              </w:rPr>
              <w:t>k</w:t>
            </w:r>
            <w:r w:rsidRPr="003A3769">
              <w:t>eep people in</w:t>
            </w:r>
            <w:r w:rsidRPr="003A3769">
              <w:rPr>
                <w:spacing w:val="-5"/>
              </w:rPr>
              <w:t>f</w:t>
            </w:r>
            <w:r w:rsidRPr="003A3769">
              <w:t xml:space="preserve">ormed of the </w:t>
            </w:r>
            <w:r>
              <w:rPr>
                <w:spacing w:val="-5"/>
              </w:rPr>
              <w:t xml:space="preserve">emergency </w:t>
            </w:r>
            <w:r w:rsidRPr="003A3769">
              <w:t xml:space="preserve">and </w:t>
            </w:r>
            <w:r w:rsidRPr="003A3769">
              <w:rPr>
                <w:spacing w:val="-4"/>
              </w:rPr>
              <w:t>e</w:t>
            </w:r>
            <w:r w:rsidRPr="003A3769">
              <w:t>x</w:t>
            </w:r>
            <w:r w:rsidRPr="003A3769">
              <w:rPr>
                <w:spacing w:val="-4"/>
              </w:rPr>
              <w:t>t</w:t>
            </w:r>
            <w:r w:rsidRPr="003A3769">
              <w:t xml:space="preserve">ent of damage, reducing </w:t>
            </w:r>
            <w:r>
              <w:t>the feeling of</w:t>
            </w:r>
            <w:r w:rsidRPr="003A3769">
              <w:t xml:space="preserve"> isola</w:t>
            </w:r>
            <w:r w:rsidRPr="003A3769">
              <w:rPr>
                <w:spacing w:val="-4"/>
              </w:rPr>
              <w:t>t</w:t>
            </w:r>
            <w:r>
              <w:t>ion</w:t>
            </w:r>
            <w:r w:rsidRPr="003A3769">
              <w:t>)</w:t>
            </w:r>
            <w:r>
              <w:t>.</w:t>
            </w:r>
          </w:p>
          <w:p w:rsidR="001F04AB" w:rsidRPr="003A3769" w:rsidRDefault="001F04AB" w:rsidP="001822C7">
            <w:pPr>
              <w:pStyle w:val="Tablenormal0"/>
              <w:rPr>
                <w:color w:val="000000"/>
              </w:rPr>
            </w:pPr>
            <w:r w:rsidRPr="003A3769">
              <w:t>Disposable cameras (reco</w:t>
            </w:r>
            <w:r w:rsidRPr="003A3769">
              <w:rPr>
                <w:spacing w:val="-4"/>
              </w:rPr>
              <w:t>r</w:t>
            </w:r>
            <w:r w:rsidRPr="003A3769">
              <w:t xml:space="preserve">d </w:t>
            </w:r>
            <w:r w:rsidRPr="003A3769">
              <w:rPr>
                <w:spacing w:val="-5"/>
              </w:rPr>
              <w:t>k</w:t>
            </w:r>
            <w:r w:rsidRPr="003A3769">
              <w:t xml:space="preserve">eeping </w:t>
            </w:r>
            <w:r w:rsidRPr="003A3769">
              <w:rPr>
                <w:spacing w:val="-5"/>
              </w:rPr>
              <w:t>f</w:t>
            </w:r>
            <w:r w:rsidRPr="003A3769">
              <w:t xml:space="preserve">or </w:t>
            </w:r>
            <w:r w:rsidRPr="003A3769">
              <w:rPr>
                <w:spacing w:val="-4"/>
              </w:rPr>
              <w:t>e</w:t>
            </w:r>
            <w:r w:rsidRPr="003A3769">
              <w:t>vidential pu</w:t>
            </w:r>
            <w:r w:rsidRPr="003A3769">
              <w:rPr>
                <w:spacing w:val="-1"/>
              </w:rPr>
              <w:t>r</w:t>
            </w:r>
            <w:r w:rsidRPr="003A3769">
              <w:t>poses</w:t>
            </w:r>
            <w:r>
              <w:t xml:space="preserve"> regarding insurance</w:t>
            </w:r>
            <w:r w:rsidRPr="003A3769">
              <w:t>).</w:t>
            </w:r>
            <w:r>
              <w:t xml:space="preserve"> </w:t>
            </w:r>
            <w:r w:rsidRPr="004A2C85">
              <w:rPr>
                <w:i/>
                <w:iCs/>
              </w:rPr>
              <w:t>Cost of developing photographs not included</w:t>
            </w:r>
            <w:r>
              <w:t>.</w:t>
            </w:r>
          </w:p>
        </w:tc>
      </w:tr>
      <w:tr w:rsidR="001F04AB" w:rsidRPr="003A3769" w:rsidTr="001822C7">
        <w:tc>
          <w:tcPr>
            <w:tcW w:w="1701" w:type="dxa"/>
          </w:tcPr>
          <w:p w:rsidR="001F04AB" w:rsidRPr="003A3769" w:rsidRDefault="001F04AB" w:rsidP="001822C7">
            <w:pPr>
              <w:pStyle w:val="Tablenormal0"/>
            </w:pPr>
            <w:r w:rsidRPr="003A3769">
              <w:t>Medication</w:t>
            </w:r>
          </w:p>
        </w:tc>
        <w:tc>
          <w:tcPr>
            <w:tcW w:w="7932" w:type="dxa"/>
          </w:tcPr>
          <w:p w:rsidR="001F04AB" w:rsidRPr="004A2C85" w:rsidRDefault="001F04AB" w:rsidP="001822C7">
            <w:pPr>
              <w:pStyle w:val="Tablenormal0"/>
              <w:rPr>
                <w:spacing w:val="-4"/>
              </w:rPr>
            </w:pPr>
            <w:r w:rsidRPr="003A3769">
              <w:t>O</w:t>
            </w:r>
            <w:r w:rsidRPr="003A3769">
              <w:rPr>
                <w:spacing w:val="-3"/>
              </w:rPr>
              <w:t>v</w:t>
            </w:r>
            <w:r w:rsidRPr="003A3769">
              <w:t>e</w:t>
            </w:r>
            <w:r w:rsidRPr="003A3769">
              <w:rPr>
                <w:spacing w:val="-6"/>
              </w:rPr>
              <w:t>r</w:t>
            </w:r>
            <w:r w:rsidRPr="003A3769">
              <w:t>-the-coun</w:t>
            </w:r>
            <w:r w:rsidRPr="003A3769">
              <w:rPr>
                <w:spacing w:val="-4"/>
              </w:rPr>
              <w:t>t</w:t>
            </w:r>
            <w:r w:rsidRPr="003A3769">
              <w:t>er medicines e.g. parac</w:t>
            </w:r>
            <w:r w:rsidRPr="003A3769">
              <w:rPr>
                <w:spacing w:val="-2"/>
              </w:rPr>
              <w:t>e</w:t>
            </w:r>
            <w:r w:rsidRPr="003A3769">
              <w:t xml:space="preserve">tamol, </w:t>
            </w:r>
            <w:r w:rsidRPr="004A2C85">
              <w:rPr>
                <w:spacing w:val="-4"/>
              </w:rPr>
              <w:t>aspirin (must be supplied in their approved, intact packs)</w:t>
            </w:r>
          </w:p>
          <w:p w:rsidR="001F04AB" w:rsidRPr="003A3769" w:rsidRDefault="001F04AB" w:rsidP="001822C7">
            <w:pPr>
              <w:pStyle w:val="Tablenormal0"/>
              <w:rPr>
                <w:color w:val="000000"/>
              </w:rPr>
            </w:pPr>
            <w:r w:rsidRPr="003A3769">
              <w:t>Emergency prescription medicine.</w:t>
            </w:r>
          </w:p>
        </w:tc>
      </w:tr>
      <w:tr w:rsidR="001F04AB" w:rsidRPr="003A3769" w:rsidTr="001822C7">
        <w:tc>
          <w:tcPr>
            <w:tcW w:w="1701" w:type="dxa"/>
          </w:tcPr>
          <w:p w:rsidR="001F04AB" w:rsidRPr="003A3769" w:rsidRDefault="001F04AB" w:rsidP="001822C7">
            <w:pPr>
              <w:pStyle w:val="Tablenormal0"/>
            </w:pPr>
            <w:r w:rsidRPr="003A3769">
              <w:t>Equipment</w:t>
            </w:r>
          </w:p>
        </w:tc>
        <w:tc>
          <w:tcPr>
            <w:tcW w:w="7932" w:type="dxa"/>
          </w:tcPr>
          <w:p w:rsidR="001F04AB" w:rsidRPr="003A3769" w:rsidRDefault="001F04AB" w:rsidP="001822C7">
            <w:pPr>
              <w:pStyle w:val="Tablenormal0"/>
            </w:pPr>
            <w:r>
              <w:t>Hire of plant</w:t>
            </w:r>
            <w:r w:rsidRPr="003A3769">
              <w:t>/e</w:t>
            </w:r>
            <w:r w:rsidRPr="003A3769">
              <w:rPr>
                <w:spacing w:val="-3"/>
              </w:rPr>
              <w:t>q</w:t>
            </w:r>
            <w:r w:rsidRPr="003A3769">
              <w:t xml:space="preserve">uipment used </w:t>
            </w:r>
            <w:r w:rsidRPr="003A3769">
              <w:rPr>
                <w:spacing w:val="-4"/>
              </w:rPr>
              <w:t>t</w:t>
            </w:r>
            <w:r w:rsidRPr="003A3769">
              <w:t>o prepare</w:t>
            </w:r>
            <w:r>
              <w:t>, store,</w:t>
            </w:r>
            <w:r w:rsidRPr="003A3769">
              <w:t xml:space="preserve"> or deli</w:t>
            </w:r>
            <w:r w:rsidRPr="003A3769">
              <w:rPr>
                <w:spacing w:val="-4"/>
              </w:rPr>
              <w:t>v</w:t>
            </w:r>
            <w:r w:rsidRPr="003A3769">
              <w:t xml:space="preserve">er </w:t>
            </w:r>
            <w:r w:rsidRPr="003A3769">
              <w:rPr>
                <w:spacing w:val="-5"/>
              </w:rPr>
              <w:t>f</w:t>
            </w:r>
            <w:r>
              <w:t>ood,</w:t>
            </w:r>
            <w:r w:rsidRPr="003A3769">
              <w:t xml:space="preserve"> e.g. gas b</w:t>
            </w:r>
            <w:r w:rsidRPr="003A3769">
              <w:rPr>
                <w:spacing w:val="-2"/>
              </w:rPr>
              <w:t>o</w:t>
            </w:r>
            <w:r w:rsidRPr="003A3769">
              <w:t>ttles, mic</w:t>
            </w:r>
            <w:r w:rsidRPr="003A3769">
              <w:rPr>
                <w:spacing w:val="-4"/>
              </w:rPr>
              <w:t>r</w:t>
            </w:r>
            <w:r w:rsidRPr="003A3769">
              <w:rPr>
                <w:spacing w:val="-3"/>
              </w:rPr>
              <w:t>o</w:t>
            </w:r>
            <w:r w:rsidRPr="003A3769">
              <w:rPr>
                <w:spacing w:val="-2"/>
              </w:rPr>
              <w:t>w</w:t>
            </w:r>
            <w:r w:rsidRPr="003A3769">
              <w:rPr>
                <w:spacing w:val="-5"/>
              </w:rPr>
              <w:t>a</w:t>
            </w:r>
            <w:r w:rsidRPr="003A3769">
              <w:rPr>
                <w:spacing w:val="-3"/>
              </w:rPr>
              <w:t>v</w:t>
            </w:r>
            <w:r w:rsidRPr="003A3769">
              <w:t xml:space="preserve">e </w:t>
            </w:r>
            <w:r w:rsidRPr="003A3769">
              <w:rPr>
                <w:spacing w:val="-4"/>
              </w:rPr>
              <w:t>o</w:t>
            </w:r>
            <w:r w:rsidRPr="003A3769">
              <w:rPr>
                <w:spacing w:val="-3"/>
              </w:rPr>
              <w:t>v</w:t>
            </w:r>
            <w:r>
              <w:t>ens</w:t>
            </w:r>
            <w:r w:rsidRPr="003A3769">
              <w:t xml:space="preserve"> and refrigera</w:t>
            </w:r>
            <w:r w:rsidRPr="003A3769">
              <w:rPr>
                <w:spacing w:val="-4"/>
              </w:rPr>
              <w:t>t</w:t>
            </w:r>
            <w:r w:rsidRPr="003A3769">
              <w:t>o</w:t>
            </w:r>
            <w:r w:rsidRPr="003A3769">
              <w:rPr>
                <w:spacing w:val="1"/>
              </w:rPr>
              <w:t>r</w:t>
            </w:r>
            <w:r w:rsidRPr="003A3769">
              <w:t>s.</w:t>
            </w:r>
          </w:p>
        </w:tc>
      </w:tr>
      <w:tr w:rsidR="001F04AB" w:rsidRPr="003A3769" w:rsidTr="001822C7">
        <w:tc>
          <w:tcPr>
            <w:tcW w:w="1701" w:type="dxa"/>
          </w:tcPr>
          <w:p w:rsidR="001F04AB" w:rsidRPr="003A3769" w:rsidRDefault="001F04AB" w:rsidP="001822C7">
            <w:pPr>
              <w:pStyle w:val="Tablenormal0"/>
            </w:pPr>
            <w:r w:rsidRPr="003A3769">
              <w:t>Transport</w:t>
            </w:r>
          </w:p>
        </w:tc>
        <w:tc>
          <w:tcPr>
            <w:tcW w:w="7932" w:type="dxa"/>
          </w:tcPr>
          <w:p w:rsidR="001F04AB" w:rsidRPr="003A3769" w:rsidRDefault="001F04AB" w:rsidP="001822C7">
            <w:pPr>
              <w:pStyle w:val="Tablenormal0"/>
            </w:pPr>
            <w:r w:rsidRPr="003A3769">
              <w:t>Helicop</w:t>
            </w:r>
            <w:r w:rsidRPr="003A3769">
              <w:rPr>
                <w:spacing w:val="-4"/>
              </w:rPr>
              <w:t>t</w:t>
            </w:r>
            <w:r w:rsidRPr="003A3769">
              <w:t xml:space="preserve">er </w:t>
            </w:r>
            <w:r w:rsidRPr="003A3769">
              <w:rPr>
                <w:spacing w:val="-5"/>
              </w:rPr>
              <w:t>f</w:t>
            </w:r>
            <w:r w:rsidRPr="003A3769">
              <w:t>ood d</w:t>
            </w:r>
            <w:r w:rsidRPr="003A3769">
              <w:rPr>
                <w:spacing w:val="-4"/>
              </w:rPr>
              <w:t>r</w:t>
            </w:r>
            <w:r w:rsidRPr="003A3769">
              <w:t xml:space="preserve">ops, </w:t>
            </w:r>
            <w:r>
              <w:t xml:space="preserve">along with (e.g.) </w:t>
            </w:r>
            <w:r w:rsidRPr="003A3769">
              <w:t>gas b</w:t>
            </w:r>
            <w:r w:rsidRPr="003A3769">
              <w:rPr>
                <w:spacing w:val="-2"/>
              </w:rPr>
              <w:t>o</w:t>
            </w:r>
            <w:r>
              <w:t>ttles, medication</w:t>
            </w:r>
            <w:r w:rsidRPr="003A3769">
              <w:t xml:space="preserve"> </w:t>
            </w:r>
            <w:r w:rsidRPr="003A3769">
              <w:rPr>
                <w:spacing w:val="-2"/>
              </w:rPr>
              <w:t>e</w:t>
            </w:r>
            <w:r w:rsidRPr="003A3769">
              <w:t xml:space="preserve">tc. </w:t>
            </w:r>
            <w:r w:rsidRPr="003A3769">
              <w:rPr>
                <w:spacing w:val="-5"/>
              </w:rPr>
              <w:t>f</w:t>
            </w:r>
            <w:r w:rsidRPr="003A3769">
              <w:t>or people who</w:t>
            </w:r>
            <w:r>
              <w:t xml:space="preserve"> are isolated by the emergency and</w:t>
            </w:r>
            <w:r w:rsidRPr="003A3769">
              <w:t xml:space="preserve"> do n</w:t>
            </w:r>
            <w:r w:rsidRPr="003A3769">
              <w:rPr>
                <w:spacing w:val="-2"/>
              </w:rPr>
              <w:t>o</w:t>
            </w:r>
            <w:r w:rsidRPr="003A3769">
              <w:t>t h</w:t>
            </w:r>
            <w:r w:rsidRPr="003A3769">
              <w:rPr>
                <w:spacing w:val="-5"/>
              </w:rPr>
              <w:t>a</w:t>
            </w:r>
            <w:r w:rsidRPr="003A3769">
              <w:rPr>
                <w:spacing w:val="-3"/>
              </w:rPr>
              <w:t>v</w:t>
            </w:r>
            <w:r w:rsidRPr="003A3769">
              <w:t>e ade</w:t>
            </w:r>
            <w:r w:rsidRPr="003A3769">
              <w:rPr>
                <w:spacing w:val="-3"/>
              </w:rPr>
              <w:t>q</w:t>
            </w:r>
            <w:r w:rsidRPr="003A3769">
              <w:t>ua</w:t>
            </w:r>
            <w:r w:rsidRPr="003A3769">
              <w:rPr>
                <w:spacing w:val="-4"/>
              </w:rPr>
              <w:t>t</w:t>
            </w:r>
            <w:r w:rsidRPr="003A3769">
              <w:t>e supplies</w:t>
            </w:r>
            <w:r w:rsidRPr="003A3769">
              <w:rPr>
                <w:spacing w:val="-5"/>
              </w:rPr>
              <w:t>.</w:t>
            </w:r>
            <w:r w:rsidRPr="003A3769">
              <w:t xml:space="preserve"> If this is </w:t>
            </w:r>
            <w:r>
              <w:t>included</w:t>
            </w:r>
            <w:r w:rsidRPr="003A3769">
              <w:t xml:space="preserve"> as pa</w:t>
            </w:r>
            <w:r w:rsidRPr="003A3769">
              <w:rPr>
                <w:spacing w:val="7"/>
              </w:rPr>
              <w:t>r</w:t>
            </w:r>
            <w:r w:rsidRPr="003A3769">
              <w:t>t of a reconnaissance flight</w:t>
            </w:r>
            <w:r>
              <w:t>,</w:t>
            </w:r>
            <w:r w:rsidRPr="003A3769">
              <w:rPr>
                <w:spacing w:val="-14"/>
              </w:rPr>
              <w:t xml:space="preserve"> </w:t>
            </w:r>
            <w:r w:rsidRPr="003A3769">
              <w:t>then only the po</w:t>
            </w:r>
            <w:r w:rsidRPr="003A3769">
              <w:rPr>
                <w:spacing w:val="6"/>
              </w:rPr>
              <w:t>r</w:t>
            </w:r>
            <w:r w:rsidRPr="003A3769">
              <w:t>tion of that flight</w:t>
            </w:r>
            <w:r w:rsidRPr="003A3769">
              <w:rPr>
                <w:spacing w:val="-14"/>
              </w:rPr>
              <w:t xml:space="preserve"> </w:t>
            </w:r>
            <w:r w:rsidRPr="003A3769">
              <w:t>that c</w:t>
            </w:r>
            <w:r w:rsidRPr="003A3769">
              <w:rPr>
                <w:spacing w:val="-4"/>
              </w:rPr>
              <w:t>o</w:t>
            </w:r>
            <w:r w:rsidRPr="003A3769">
              <w:rPr>
                <w:spacing w:val="-3"/>
              </w:rPr>
              <w:t>v</w:t>
            </w:r>
            <w:r w:rsidRPr="003A3769">
              <w:t>e</w:t>
            </w:r>
            <w:r w:rsidRPr="003A3769">
              <w:rPr>
                <w:spacing w:val="1"/>
              </w:rPr>
              <w:t>r</w:t>
            </w:r>
            <w:r w:rsidRPr="003A3769">
              <w:t>s the deli</w:t>
            </w:r>
            <w:r w:rsidRPr="003A3769">
              <w:rPr>
                <w:spacing w:val="-4"/>
              </w:rPr>
              <w:t>v</w:t>
            </w:r>
            <w:r w:rsidRPr="003A3769">
              <w:t>e</w:t>
            </w:r>
            <w:r w:rsidRPr="003A3769">
              <w:rPr>
                <w:spacing w:val="6"/>
              </w:rPr>
              <w:t>r</w:t>
            </w:r>
            <w:r w:rsidRPr="003A3769">
              <w:t>y of those i</w:t>
            </w:r>
            <w:r w:rsidRPr="003A3769">
              <w:rPr>
                <w:spacing w:val="-4"/>
              </w:rPr>
              <w:t>t</w:t>
            </w:r>
            <w:r w:rsidRPr="003A3769">
              <w:t>ems is rec</w:t>
            </w:r>
            <w:r w:rsidRPr="003A3769">
              <w:rPr>
                <w:spacing w:val="-4"/>
              </w:rPr>
              <w:t>o</w:t>
            </w:r>
            <w:r w:rsidRPr="003A3769">
              <w:rPr>
                <w:spacing w:val="-3"/>
              </w:rPr>
              <w:t>v</w:t>
            </w:r>
            <w:r w:rsidRPr="003A3769">
              <w:t>erable.</w:t>
            </w:r>
            <w:r>
              <w:t xml:space="preserve"> </w:t>
            </w:r>
          </w:p>
        </w:tc>
      </w:tr>
    </w:tbl>
    <w:p w:rsidR="001F04AB" w:rsidRPr="003A3769" w:rsidRDefault="001F04AB" w:rsidP="001F04AB">
      <w:pPr>
        <w:spacing w:before="0" w:after="0" w:line="240" w:lineRule="auto"/>
      </w:pPr>
      <w:r w:rsidRPr="003A3769">
        <w:br w:type="page"/>
      </w:r>
    </w:p>
    <w:p w:rsidR="001F04AB" w:rsidRDefault="001F04AB" w:rsidP="001F04AB">
      <w:pPr>
        <w:pStyle w:val="Heading6"/>
      </w:pPr>
      <w:bookmarkStart w:id="65" w:name="_Toc416776962"/>
      <w:bookmarkStart w:id="66" w:name="_Toc419751822"/>
      <w:bookmarkStart w:id="67" w:name="_Toc419751884"/>
      <w:bookmarkStart w:id="68" w:name="_Ref430801561"/>
      <w:bookmarkStart w:id="69" w:name="_Ref430801563"/>
      <w:bookmarkStart w:id="70" w:name="_Toc433815398"/>
      <w:bookmarkStart w:id="71" w:name="_Toc434928933"/>
      <w:bookmarkStart w:id="72" w:name="_Toc434928992"/>
      <w:r w:rsidRPr="003A3769">
        <w:lastRenderedPageBreak/>
        <w:t>Example grocery list</w:t>
      </w:r>
      <w:bookmarkEnd w:id="65"/>
      <w:bookmarkEnd w:id="66"/>
      <w:bookmarkEnd w:id="67"/>
      <w:bookmarkEnd w:id="68"/>
      <w:bookmarkEnd w:id="69"/>
      <w:bookmarkEnd w:id="70"/>
      <w:bookmarkEnd w:id="71"/>
      <w:bookmarkEnd w:id="72"/>
    </w:p>
    <w:p w:rsidR="001F04AB" w:rsidRDefault="001F04AB" w:rsidP="001F04AB">
      <w:pPr>
        <w:rPr>
          <w:rStyle w:val="Hyperlink"/>
        </w:rPr>
      </w:pPr>
      <w:r>
        <w:rPr>
          <w:color w:val="9B2703" w:themeColor="accent2"/>
        </w:rPr>
        <w:t xml:space="preserve">This template is available to download at </w:t>
      </w:r>
      <w:hyperlink r:id="rId40" w:history="1">
        <w:r w:rsidRPr="002F58AF">
          <w:rPr>
            <w:rStyle w:val="Hyperlink"/>
          </w:rPr>
          <w:t>www.civildefence.govt.nz</w:t>
        </w:r>
      </w:hyperlink>
    </w:p>
    <w:p w:rsidR="001F04AB" w:rsidRDefault="001F04AB" w:rsidP="001F04AB">
      <w:r w:rsidRPr="00F854B3">
        <w:rPr>
          <w:rStyle w:val="RedtextChar"/>
        </w:rPr>
        <w:t>This template may be used to provide household goods to people sheltering in place, who may be isolated due to an emergency</w:t>
      </w:r>
      <w:r w:rsidRPr="003A3769">
        <w:t>.</w:t>
      </w:r>
      <w:r>
        <w:t xml:space="preserve"> </w:t>
      </w:r>
    </w:p>
    <w:p w:rsidR="001F04AB" w:rsidRPr="00F854B3" w:rsidRDefault="001F04AB" w:rsidP="001F04AB">
      <w:pPr>
        <w:pStyle w:val="Redtext"/>
      </w:pPr>
      <w:r>
        <w:t>This list is indicative only and not exclusive. Consider dietary, cultural, and other requirements e.g. gluten-free options. Also consider storage conditions at receiving household e.g. refrigeration.</w:t>
      </w:r>
    </w:p>
    <w:p w:rsidR="001F04AB" w:rsidRPr="003A3769" w:rsidRDefault="001F04AB" w:rsidP="001F04AB">
      <w:pPr>
        <w:pStyle w:val="Tinyline"/>
      </w:pPr>
    </w:p>
    <w:tbl>
      <w:tblPr>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697"/>
        <w:gridCol w:w="635"/>
        <w:gridCol w:w="634"/>
        <w:gridCol w:w="630"/>
        <w:gridCol w:w="630"/>
        <w:gridCol w:w="630"/>
        <w:gridCol w:w="630"/>
        <w:gridCol w:w="630"/>
        <w:gridCol w:w="630"/>
        <w:gridCol w:w="630"/>
        <w:gridCol w:w="634"/>
        <w:gridCol w:w="624"/>
      </w:tblGrid>
      <w:tr w:rsidR="001F04AB" w:rsidRPr="009B66EC" w:rsidTr="001822C7">
        <w:trPr>
          <w:trHeight w:val="724"/>
          <w:tblHeader/>
        </w:trPr>
        <w:tc>
          <w:tcPr>
            <w:tcW w:w="1398" w:type="pct"/>
            <w:shd w:val="clear" w:color="auto" w:fill="005A9B" w:themeFill="background2"/>
            <w:noWrap/>
            <w:textDirection w:val="btLr"/>
            <w:vAlign w:val="bottom"/>
            <w:hideMark/>
          </w:tcPr>
          <w:p w:rsidR="001F04AB" w:rsidRPr="009B66EC" w:rsidRDefault="001F04AB" w:rsidP="001822C7">
            <w:pPr>
              <w:pStyle w:val="Tableheading"/>
              <w:rPr>
                <w:sz w:val="18"/>
                <w:szCs w:val="18"/>
                <w:lang w:eastAsia="en-NZ"/>
              </w:rPr>
            </w:pPr>
          </w:p>
        </w:tc>
        <w:tc>
          <w:tcPr>
            <w:tcW w:w="329"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Total</w:t>
            </w:r>
          </w:p>
        </w:tc>
        <w:tc>
          <w:tcPr>
            <w:tcW w:w="329"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7"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7"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7"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7"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7"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7"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7"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9"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c>
          <w:tcPr>
            <w:tcW w:w="324" w:type="pct"/>
            <w:shd w:val="clear" w:color="auto" w:fill="005A9B" w:themeFill="background2"/>
            <w:noWrap/>
            <w:textDirection w:val="btLr"/>
            <w:hideMark/>
          </w:tcPr>
          <w:p w:rsidR="001F04AB" w:rsidRPr="009B66EC" w:rsidRDefault="001F04AB" w:rsidP="001822C7">
            <w:pPr>
              <w:pStyle w:val="Tableheading"/>
              <w:rPr>
                <w:sz w:val="18"/>
                <w:szCs w:val="18"/>
                <w:lang w:eastAsia="en-NZ"/>
              </w:rPr>
            </w:pPr>
            <w:r w:rsidRPr="009B66EC">
              <w:rPr>
                <w:sz w:val="18"/>
                <w:szCs w:val="18"/>
                <w:lang w:eastAsia="en-NZ"/>
              </w:rPr>
              <w:t>Name</w:t>
            </w:r>
          </w:p>
        </w:tc>
      </w:tr>
      <w:tr w:rsidR="001F04AB" w:rsidRPr="009B66EC" w:rsidTr="001822C7">
        <w:trPr>
          <w:trHeight w:val="65"/>
        </w:trPr>
        <w:tc>
          <w:tcPr>
            <w:tcW w:w="1398"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Fruit</w:t>
            </w:r>
            <w:r>
              <w:rPr>
                <w:sz w:val="16"/>
                <w:szCs w:val="16"/>
                <w:lang w:eastAsia="en-NZ"/>
              </w:rPr>
              <w:t>/</w:t>
            </w:r>
            <w:r w:rsidRPr="00DD52D4">
              <w:rPr>
                <w:sz w:val="16"/>
                <w:szCs w:val="16"/>
                <w:lang w:eastAsia="en-NZ"/>
              </w:rPr>
              <w:t xml:space="preserve"> vege</w:t>
            </w:r>
            <w:r>
              <w:rPr>
                <w:sz w:val="16"/>
                <w:szCs w:val="16"/>
                <w:lang w:eastAsia="en-NZ"/>
              </w:rPr>
              <w:t>tables</w:t>
            </w:r>
          </w:p>
        </w:tc>
        <w:tc>
          <w:tcPr>
            <w:tcW w:w="329"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Apples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Oranges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Cabbage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Pumpkin</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Potatoes 5kg</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Kumara</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Carrots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Onions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Meat</w:t>
            </w:r>
          </w:p>
        </w:tc>
        <w:tc>
          <w:tcPr>
            <w:tcW w:w="329"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BBQ meat pack</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Bacon 1kg</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Tinned goods</w:t>
            </w:r>
          </w:p>
        </w:tc>
        <w:tc>
          <w:tcPr>
            <w:tcW w:w="329"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Spaghetti</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Baked beans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Tomatoes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Fish</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Pr>
                <w:sz w:val="16"/>
                <w:szCs w:val="16"/>
                <w:lang w:eastAsia="en-NZ"/>
              </w:rPr>
              <w:t>Creamed</w:t>
            </w:r>
            <w:r w:rsidRPr="00DD52D4">
              <w:rPr>
                <w:sz w:val="16"/>
                <w:szCs w:val="16"/>
                <w:lang w:eastAsia="en-NZ"/>
              </w:rPr>
              <w:t xml:space="preserve"> corn</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Corned beef</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 xml:space="preserve">Fruit </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Other food items</w:t>
            </w:r>
          </w:p>
        </w:tc>
        <w:tc>
          <w:tcPr>
            <w:tcW w:w="329"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Bread</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Dried peas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 xml:space="preserve">Dried mixed </w:t>
            </w:r>
            <w:proofErr w:type="spellStart"/>
            <w:r w:rsidRPr="00DD52D4">
              <w:rPr>
                <w:sz w:val="16"/>
                <w:szCs w:val="16"/>
                <w:lang w:eastAsia="en-NZ"/>
              </w:rPr>
              <w:t>veges</w:t>
            </w:r>
            <w:proofErr w:type="spellEnd"/>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Sugar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Salt</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 xml:space="preserve">Eggs 1 </w:t>
            </w:r>
            <w:proofErr w:type="spellStart"/>
            <w:r w:rsidRPr="00DD52D4">
              <w:rPr>
                <w:sz w:val="16"/>
                <w:szCs w:val="16"/>
                <w:lang w:eastAsia="en-NZ"/>
              </w:rPr>
              <w:t>doz</w:t>
            </w:r>
            <w:proofErr w:type="spellEnd"/>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 xml:space="preserve">Cheese </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Butter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Margarine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tcPr>
          <w:p w:rsidR="001F04AB" w:rsidRPr="00DD52D4" w:rsidRDefault="001F04AB" w:rsidP="001822C7">
            <w:pPr>
              <w:pStyle w:val="StyleTablenormal9pt"/>
              <w:spacing w:before="100" w:beforeAutospacing="1" w:after="100" w:afterAutospacing="1"/>
              <w:rPr>
                <w:sz w:val="16"/>
                <w:szCs w:val="16"/>
                <w:lang w:eastAsia="en-NZ"/>
              </w:rPr>
            </w:pPr>
            <w:r>
              <w:rPr>
                <w:sz w:val="16"/>
                <w:szCs w:val="16"/>
                <w:lang w:eastAsia="en-NZ"/>
              </w:rPr>
              <w:t>Dried pasta</w:t>
            </w:r>
          </w:p>
        </w:tc>
        <w:tc>
          <w:tcPr>
            <w:tcW w:w="329" w:type="pct"/>
            <w:shd w:val="clear" w:color="auto" w:fill="auto"/>
            <w:noWrap/>
            <w:vAlign w:val="bottom"/>
          </w:tcPr>
          <w:p w:rsidR="001F04AB" w:rsidRPr="00DD52D4" w:rsidRDefault="001F04AB" w:rsidP="001822C7">
            <w:pPr>
              <w:pStyle w:val="StyleTablenormal9pt"/>
              <w:spacing w:before="100" w:beforeAutospacing="1" w:after="100" w:afterAutospacing="1"/>
              <w:rPr>
                <w:sz w:val="16"/>
                <w:szCs w:val="16"/>
                <w:lang w:eastAsia="en-NZ"/>
              </w:rPr>
            </w:pPr>
            <w:r>
              <w:rPr>
                <w:sz w:val="16"/>
                <w:szCs w:val="16"/>
                <w:lang w:eastAsia="en-NZ"/>
              </w:rPr>
              <w:t>0</w:t>
            </w:r>
          </w:p>
        </w:tc>
        <w:tc>
          <w:tcPr>
            <w:tcW w:w="329"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tcPr>
          <w:p w:rsidR="001F04AB" w:rsidRPr="00DD52D4" w:rsidRDefault="001F04AB" w:rsidP="001822C7">
            <w:pPr>
              <w:pStyle w:val="StyleTablenormal9pt"/>
              <w:spacing w:before="100" w:beforeAutospacing="1" w:after="100" w:afterAutospacing="1"/>
              <w:rPr>
                <w:sz w:val="16"/>
                <w:szCs w:val="16"/>
                <w:lang w:eastAsia="en-NZ"/>
              </w:rPr>
            </w:pPr>
            <w:r>
              <w:rPr>
                <w:sz w:val="16"/>
                <w:szCs w:val="16"/>
                <w:lang w:eastAsia="en-NZ"/>
              </w:rPr>
              <w:t>Rice</w:t>
            </w:r>
          </w:p>
        </w:tc>
        <w:tc>
          <w:tcPr>
            <w:tcW w:w="329" w:type="pct"/>
            <w:shd w:val="clear" w:color="auto" w:fill="auto"/>
            <w:noWrap/>
            <w:vAlign w:val="bottom"/>
          </w:tcPr>
          <w:p w:rsidR="001F04AB" w:rsidRPr="00DD52D4" w:rsidRDefault="001F04AB" w:rsidP="001822C7">
            <w:pPr>
              <w:pStyle w:val="StyleTablenormal9pt"/>
              <w:spacing w:before="100" w:beforeAutospacing="1" w:after="100" w:afterAutospacing="1"/>
              <w:rPr>
                <w:sz w:val="16"/>
                <w:szCs w:val="16"/>
                <w:lang w:eastAsia="en-NZ"/>
              </w:rPr>
            </w:pPr>
            <w:r>
              <w:rPr>
                <w:sz w:val="16"/>
                <w:szCs w:val="16"/>
                <w:lang w:eastAsia="en-NZ"/>
              </w:rPr>
              <w:t>0</w:t>
            </w:r>
          </w:p>
        </w:tc>
        <w:tc>
          <w:tcPr>
            <w:tcW w:w="329"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2 minute noodles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Rice risotto</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proofErr w:type="spellStart"/>
            <w:r w:rsidRPr="00DD52D4">
              <w:rPr>
                <w:sz w:val="16"/>
                <w:szCs w:val="16"/>
                <w:lang w:eastAsia="en-NZ"/>
              </w:rPr>
              <w:t>Weet-bix</w:t>
            </w:r>
            <w:proofErr w:type="spellEnd"/>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proofErr w:type="spellStart"/>
            <w:r w:rsidRPr="00DD52D4">
              <w:rPr>
                <w:sz w:val="16"/>
                <w:szCs w:val="16"/>
                <w:lang w:eastAsia="en-NZ"/>
              </w:rPr>
              <w:t>Ricies</w:t>
            </w:r>
            <w:proofErr w:type="spellEnd"/>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Cornflakes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Jam</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Peanut butter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Cooking oil</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Flour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Muesli bars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tcPr>
          <w:p w:rsidR="001F04AB" w:rsidRPr="00DD52D4" w:rsidRDefault="001F04AB" w:rsidP="001822C7">
            <w:pPr>
              <w:pStyle w:val="StyleTablenormal9pt"/>
              <w:spacing w:before="100" w:beforeAutospacing="1" w:after="100" w:afterAutospacing="1"/>
              <w:rPr>
                <w:sz w:val="16"/>
                <w:szCs w:val="16"/>
                <w:lang w:eastAsia="en-NZ"/>
              </w:rPr>
            </w:pPr>
            <w:r>
              <w:rPr>
                <w:sz w:val="16"/>
                <w:szCs w:val="16"/>
                <w:lang w:eastAsia="en-NZ"/>
              </w:rPr>
              <w:t>Baby food</w:t>
            </w:r>
          </w:p>
        </w:tc>
        <w:tc>
          <w:tcPr>
            <w:tcW w:w="329" w:type="pct"/>
            <w:shd w:val="clear" w:color="auto" w:fill="auto"/>
            <w:noWrap/>
            <w:vAlign w:val="bottom"/>
          </w:tcPr>
          <w:p w:rsidR="001F04AB" w:rsidRPr="00DD52D4" w:rsidRDefault="001F04AB" w:rsidP="001822C7">
            <w:pPr>
              <w:pStyle w:val="StyleTablenormal9pt"/>
              <w:spacing w:before="100" w:beforeAutospacing="1" w:after="100" w:afterAutospacing="1"/>
              <w:rPr>
                <w:sz w:val="16"/>
                <w:szCs w:val="16"/>
                <w:lang w:eastAsia="en-NZ"/>
              </w:rPr>
            </w:pPr>
            <w:r>
              <w:rPr>
                <w:sz w:val="16"/>
                <w:szCs w:val="16"/>
                <w:lang w:eastAsia="en-NZ"/>
              </w:rPr>
              <w:t>0</w:t>
            </w:r>
          </w:p>
        </w:tc>
        <w:tc>
          <w:tcPr>
            <w:tcW w:w="329"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Drink</w:t>
            </w:r>
          </w:p>
        </w:tc>
        <w:tc>
          <w:tcPr>
            <w:tcW w:w="329"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lastRenderedPageBreak/>
              <w:t>Water 4L</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UHT milk 1L</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Milk powder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AA491D">
              <w:rPr>
                <w:sz w:val="16"/>
                <w:szCs w:val="16"/>
                <w:lang w:eastAsia="en-NZ"/>
              </w:rPr>
              <w:t>Infant formula + feeding equipment</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Tea bags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Instant coffee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Milo</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proofErr w:type="spellStart"/>
            <w:r w:rsidRPr="00DD52D4">
              <w:rPr>
                <w:sz w:val="16"/>
                <w:szCs w:val="16"/>
                <w:lang w:eastAsia="en-NZ"/>
              </w:rPr>
              <w:t>Raro</w:t>
            </w:r>
            <w:proofErr w:type="spellEnd"/>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Toiletries/hygiene</w:t>
            </w:r>
          </w:p>
        </w:tc>
        <w:tc>
          <w:tcPr>
            <w:tcW w:w="329"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bCs/>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Toilet paper 4pk</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Sanitary pads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Tampons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Soap</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Dishwashing liquid</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Laundry liquid</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Paracetamol</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Shampoo</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Conditioner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Toothpaste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 xml:space="preserve">Wet </w:t>
            </w:r>
            <w:r>
              <w:rPr>
                <w:sz w:val="16"/>
                <w:szCs w:val="16"/>
                <w:lang w:eastAsia="en-NZ"/>
              </w:rPr>
              <w:t>wipes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Miscellaneous</w:t>
            </w:r>
          </w:p>
        </w:tc>
        <w:tc>
          <w:tcPr>
            <w:tcW w:w="329" w:type="pct"/>
            <w:shd w:val="clear" w:color="auto" w:fill="auto"/>
            <w:noWrap/>
            <w:vAlign w:val="bottom"/>
            <w:hideMark/>
          </w:tcPr>
          <w:p w:rsidR="001F04AB" w:rsidRPr="00DD52D4" w:rsidRDefault="001F04AB" w:rsidP="001822C7">
            <w:pPr>
              <w:pStyle w:val="StyleTablenormal9ptBold"/>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b/>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Candles</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Lighter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Batteries AA 4pk</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Batteries AAA 4pk</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Batteries D 2pk</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Batteries C 2pk</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Batteries 9V single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Batteries dolphin type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Cat food</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Dog food</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Tin foil</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Glad wrap</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Kerosene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Gas bottle</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r w:rsidR="001F04AB" w:rsidRPr="009B66EC" w:rsidTr="001822C7">
        <w:trPr>
          <w:trHeight w:val="240"/>
        </w:trPr>
        <w:tc>
          <w:tcPr>
            <w:tcW w:w="1398"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Newspaper</w:t>
            </w:r>
          </w:p>
        </w:tc>
        <w:tc>
          <w:tcPr>
            <w:tcW w:w="329" w:type="pct"/>
            <w:shd w:val="clear" w:color="auto" w:fill="auto"/>
            <w:noWrap/>
            <w:vAlign w:val="bottom"/>
            <w:hideMark/>
          </w:tcPr>
          <w:p w:rsidR="001F04AB" w:rsidRPr="00DD52D4" w:rsidRDefault="001F04AB" w:rsidP="001822C7">
            <w:pPr>
              <w:pStyle w:val="StyleTablenormal9pt"/>
              <w:spacing w:before="100" w:beforeAutospacing="1" w:after="100" w:afterAutospacing="1"/>
              <w:rPr>
                <w:sz w:val="16"/>
                <w:szCs w:val="16"/>
                <w:lang w:eastAsia="en-NZ"/>
              </w:rPr>
            </w:pPr>
            <w:r w:rsidRPr="00DD52D4">
              <w:rPr>
                <w:sz w:val="16"/>
                <w:szCs w:val="16"/>
                <w:lang w:eastAsia="en-NZ"/>
              </w:rPr>
              <w:t>0</w:t>
            </w: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7"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9"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c>
          <w:tcPr>
            <w:tcW w:w="324" w:type="pct"/>
            <w:shd w:val="clear" w:color="auto" w:fill="auto"/>
            <w:noWrap/>
            <w:vAlign w:val="bottom"/>
            <w:hideMark/>
          </w:tcPr>
          <w:p w:rsidR="001F04AB" w:rsidRPr="00DD52D4" w:rsidRDefault="001F04AB" w:rsidP="001822C7">
            <w:pPr>
              <w:pStyle w:val="Tablenormal0"/>
              <w:spacing w:before="100" w:beforeAutospacing="1" w:after="100" w:afterAutospacing="1"/>
              <w:rPr>
                <w:rFonts w:cs="Arial"/>
                <w:sz w:val="16"/>
                <w:szCs w:val="16"/>
                <w:lang w:eastAsia="en-NZ"/>
              </w:rPr>
            </w:pPr>
          </w:p>
        </w:tc>
      </w:tr>
    </w:tbl>
    <w:p w:rsidR="00A75E5F" w:rsidRPr="001F04AB" w:rsidRDefault="00A75E5F" w:rsidP="001F04AB"/>
    <w:sectPr w:rsidR="00A75E5F" w:rsidRPr="001F04AB" w:rsidSect="00B36F8D">
      <w:headerReference w:type="even" r:id="rId41"/>
      <w:footerReference w:type="even" r:id="rId42"/>
      <w:pgSz w:w="11907" w:h="16840" w:code="9"/>
      <w:pgMar w:top="1191" w:right="1021" w:bottom="794" w:left="1361" w:header="568"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EE" w:rsidRDefault="00746CEE" w:rsidP="003C4DF1">
      <w:r>
        <w:separator/>
      </w:r>
    </w:p>
    <w:p w:rsidR="00746CEE" w:rsidRDefault="00746CEE"/>
  </w:endnote>
  <w:endnote w:type="continuationSeparator" w:id="0">
    <w:p w:rsidR="00746CEE" w:rsidRDefault="00746CEE" w:rsidP="003C4DF1">
      <w:r>
        <w:continuationSeparator/>
      </w:r>
    </w:p>
    <w:p w:rsidR="00746CEE" w:rsidRDefault="00746CE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E7508E" w:rsidRDefault="00746CEE"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Default="00746CEE">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C9618C" w:rsidRDefault="00B505C0" w:rsidP="003F4DAE">
    <w:pPr>
      <w:tabs>
        <w:tab w:val="left" w:pos="284"/>
        <w:tab w:val="right" w:pos="9498"/>
        <w:tab w:val="right" w:pos="14742"/>
        <w:tab w:val="right" w:pos="15168"/>
      </w:tabs>
      <w:rPr>
        <w:rStyle w:val="MCDEMfooterevencode"/>
      </w:rPr>
    </w:pPr>
    <w:r>
      <w:rPr>
        <w:rStyle w:val="MCDEMfooterpagenumber"/>
      </w:rPr>
      <w:fldChar w:fldCharType="begin"/>
    </w:r>
    <w:r w:rsidR="00746CEE">
      <w:rPr>
        <w:rStyle w:val="MCDEMfooterpagenumber"/>
      </w:rPr>
      <w:instrText xml:space="preserve"> PAGE   \* MERGEFORMAT </w:instrText>
    </w:r>
    <w:r>
      <w:rPr>
        <w:rStyle w:val="MCDEMfooterpagenumber"/>
      </w:rPr>
      <w:fldChar w:fldCharType="separate"/>
    </w:r>
    <w:r w:rsidR="007143DC">
      <w:rPr>
        <w:rStyle w:val="MCDEMfooterpagenumber"/>
        <w:noProof/>
      </w:rPr>
      <w:t>10</w:t>
    </w:r>
    <w:r>
      <w:rPr>
        <w:rStyle w:val="MCDEMfooterpagenumber"/>
      </w:rPr>
      <w:fldChar w:fldCharType="end"/>
    </w:r>
    <w:r w:rsidR="00746CEE">
      <w:rPr>
        <w:rStyle w:val="MCDEMfooteroddcode"/>
      </w:rPr>
      <w:tab/>
    </w:r>
    <w:r w:rsidR="00746CEE">
      <w:rPr>
        <w:rStyle w:val="MCDEMfooteroddChar"/>
      </w:rPr>
      <w:t xml:space="preserve">Part II Section 11 </w:t>
    </w:r>
    <w:r w:rsidR="00746CEE" w:rsidRPr="00B36F8D">
      <w:rPr>
        <w:rStyle w:val="MCDEMfooteroddChar"/>
      </w:rPr>
      <w:t>Household goods and services</w:t>
    </w:r>
    <w:r w:rsidR="00746CEE">
      <w:rPr>
        <w:rStyle w:val="MCDEMfooteroddcode"/>
      </w:rPr>
      <w:tab/>
    </w:r>
    <w:r w:rsidR="00746CEE" w:rsidRPr="00C9618C">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C9618C" w:rsidRDefault="00746CEE"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11 </w:t>
    </w:r>
    <w:r w:rsidRPr="00B36F8D">
      <w:rPr>
        <w:rStyle w:val="MCDEMfooteroddChar"/>
      </w:rPr>
      <w:t>Household goods and services</w:t>
    </w:r>
    <w:r>
      <w:rPr>
        <w:rStyle w:val="MCDEMfooteroddcode"/>
      </w:rPr>
      <w:tab/>
    </w:r>
    <w:r w:rsidR="00B505C0" w:rsidRPr="001D3D08">
      <w:rPr>
        <w:rStyle w:val="MCDEMfooterpagenumber"/>
      </w:rPr>
      <w:fldChar w:fldCharType="begin"/>
    </w:r>
    <w:r w:rsidRPr="001D3D08">
      <w:rPr>
        <w:rStyle w:val="MCDEMfooterpagenumber"/>
      </w:rPr>
      <w:instrText xml:space="preserve"> PAGE   \* MERGEFORMAT </w:instrText>
    </w:r>
    <w:r w:rsidR="00B505C0" w:rsidRPr="001D3D08">
      <w:rPr>
        <w:rStyle w:val="MCDEMfooterpagenumber"/>
      </w:rPr>
      <w:fldChar w:fldCharType="separate"/>
    </w:r>
    <w:r w:rsidR="007143DC">
      <w:rPr>
        <w:rStyle w:val="MCDEMfooterpagenumber"/>
        <w:noProof/>
      </w:rPr>
      <w:t>i</w:t>
    </w:r>
    <w:r w:rsidR="00B505C0"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C9618C" w:rsidRDefault="00746CEE"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11 </w:t>
    </w:r>
    <w:r w:rsidRPr="00B36F8D">
      <w:rPr>
        <w:rStyle w:val="MCDEMfooteroddChar"/>
      </w:rPr>
      <w:t>Household goods and services</w:t>
    </w:r>
    <w:r>
      <w:rPr>
        <w:rStyle w:val="MCDEMfooteroddcode"/>
      </w:rPr>
      <w:tab/>
    </w:r>
    <w:r w:rsidR="00B505C0" w:rsidRPr="001D3D08">
      <w:rPr>
        <w:rStyle w:val="MCDEMfooterpagenumber"/>
      </w:rPr>
      <w:fldChar w:fldCharType="begin"/>
    </w:r>
    <w:r w:rsidRPr="001D3D08">
      <w:rPr>
        <w:rStyle w:val="MCDEMfooterpagenumber"/>
      </w:rPr>
      <w:instrText xml:space="preserve"> PAGE   \* MERGEFORMAT </w:instrText>
    </w:r>
    <w:r w:rsidR="00B505C0" w:rsidRPr="001D3D08">
      <w:rPr>
        <w:rStyle w:val="MCDEMfooterpagenumber"/>
      </w:rPr>
      <w:fldChar w:fldCharType="separate"/>
    </w:r>
    <w:r w:rsidR="007143DC">
      <w:rPr>
        <w:rStyle w:val="MCDEMfooterpagenumber"/>
        <w:noProof/>
      </w:rPr>
      <w:t>19</w:t>
    </w:r>
    <w:r w:rsidR="00B505C0" w:rsidRPr="001D3D08">
      <w:rPr>
        <w:rStyle w:val="MCDEMfooter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C9618C" w:rsidRDefault="00B505C0" w:rsidP="00B36F8D">
    <w:pPr>
      <w:tabs>
        <w:tab w:val="left" w:pos="284"/>
        <w:tab w:val="right" w:pos="9498"/>
        <w:tab w:val="right" w:pos="14742"/>
        <w:tab w:val="right" w:pos="15168"/>
      </w:tabs>
      <w:rPr>
        <w:rStyle w:val="MCDEMfooterevencode"/>
      </w:rPr>
    </w:pPr>
    <w:r>
      <w:rPr>
        <w:rStyle w:val="MCDEMfooterpagenumber"/>
      </w:rPr>
      <w:fldChar w:fldCharType="begin"/>
    </w:r>
    <w:r w:rsidR="00746CEE">
      <w:rPr>
        <w:rStyle w:val="MCDEMfooterpagenumber"/>
      </w:rPr>
      <w:instrText xml:space="preserve"> PAGE   \* MERGEFORMAT </w:instrText>
    </w:r>
    <w:r>
      <w:rPr>
        <w:rStyle w:val="MCDEMfooterpagenumber"/>
      </w:rPr>
      <w:fldChar w:fldCharType="separate"/>
    </w:r>
    <w:r w:rsidR="007143DC">
      <w:rPr>
        <w:rStyle w:val="MCDEMfooterpagenumber"/>
        <w:noProof/>
      </w:rPr>
      <w:t>20</w:t>
    </w:r>
    <w:r>
      <w:rPr>
        <w:rStyle w:val="MCDEMfooterpagenumber"/>
      </w:rPr>
      <w:fldChar w:fldCharType="end"/>
    </w:r>
    <w:r w:rsidR="00746CEE">
      <w:rPr>
        <w:rStyle w:val="MCDEMfooteroddcode"/>
      </w:rPr>
      <w:tab/>
    </w:r>
    <w:r w:rsidR="00746CEE">
      <w:rPr>
        <w:rStyle w:val="MCDEMfooteroddChar"/>
      </w:rPr>
      <w:t xml:space="preserve">Part II Section 11 </w:t>
    </w:r>
    <w:r w:rsidR="00746CEE" w:rsidRPr="00B36F8D">
      <w:rPr>
        <w:rStyle w:val="MCDEMfooteroddChar"/>
      </w:rPr>
      <w:t>Household goods and services</w:t>
    </w:r>
    <w:r w:rsidR="00746CEE">
      <w:rPr>
        <w:rStyle w:val="MCDEMfooteroddcode"/>
      </w:rPr>
      <w:tab/>
    </w:r>
    <w:r w:rsidR="00746CEE" w:rsidRPr="00C9618C">
      <w:rPr>
        <w:rStyle w:val="MCDEMfooterevencode"/>
      </w:rPr>
      <w:t>Welfare Services in an Emergency [DGL 11/15]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EE" w:rsidRPr="00A5314E" w:rsidRDefault="00B505C0" w:rsidP="00734642">
      <w:pPr>
        <w:tabs>
          <w:tab w:val="left" w:pos="567"/>
          <w:tab w:val="right" w:pos="15025"/>
        </w:tabs>
        <w:rPr>
          <w:color w:val="000000" w:themeColor="text1"/>
          <w:sz w:val="16"/>
          <w:szCs w:val="18"/>
        </w:rPr>
      </w:pPr>
      <w:r w:rsidRPr="0038097B">
        <w:rPr>
          <w:rStyle w:val="MCDEMfooterpagenumber"/>
        </w:rPr>
        <w:fldChar w:fldCharType="begin"/>
      </w:r>
      <w:r w:rsidR="00746CEE" w:rsidRPr="0038097B">
        <w:rPr>
          <w:rStyle w:val="MCDEMfooterpagenumber"/>
        </w:rPr>
        <w:instrText xml:space="preserve"> PAGE </w:instrText>
      </w:r>
      <w:r w:rsidRPr="0038097B">
        <w:rPr>
          <w:rStyle w:val="MCDEMfooterpagenumber"/>
        </w:rPr>
        <w:fldChar w:fldCharType="separate"/>
      </w:r>
      <w:r w:rsidR="00746CEE">
        <w:rPr>
          <w:rStyle w:val="MCDEMfooterpagenumber"/>
          <w:noProof/>
        </w:rPr>
        <w:t>76</w:t>
      </w:r>
      <w:r w:rsidRPr="0038097B">
        <w:rPr>
          <w:rStyle w:val="MCDEMfooterpagenumber"/>
        </w:rPr>
        <w:fldChar w:fldCharType="end"/>
      </w:r>
      <w:r w:rsidR="00746CEE" w:rsidRPr="00A5314E">
        <w:t xml:space="preserve"> </w:t>
      </w:r>
      <w:r w:rsidR="00746CEE" w:rsidRPr="009F6AEB">
        <w:tab/>
      </w:r>
      <w:r w:rsidR="00746CEE" w:rsidRPr="00531E1F">
        <w:rPr>
          <w:rStyle w:val="MCDEMfooterevenChar"/>
          <w:highlight w:val="green"/>
        </w:rPr>
        <w:t>xxx</w:t>
      </w:r>
      <w:r w:rsidR="00746CEE" w:rsidRPr="0038097B">
        <w:rPr>
          <w:rStyle w:val="MCDEMfooterevenChar"/>
        </w:rPr>
        <w:t xml:space="preserve"> Director’s Guideline</w:t>
      </w:r>
      <w:r w:rsidR="00746CEE" w:rsidRPr="009F6AEB">
        <w:t xml:space="preserve"> </w:t>
      </w:r>
      <w:r w:rsidR="00746CEE" w:rsidRPr="0038097B">
        <w:rPr>
          <w:rStyle w:val="MCDEMfooterevencode"/>
        </w:rPr>
        <w:t xml:space="preserve">[DGL </w:t>
      </w:r>
      <w:r w:rsidR="00746CEE" w:rsidRPr="00531E1F">
        <w:rPr>
          <w:rStyle w:val="MCDEMfooterevencode"/>
          <w:highlight w:val="green"/>
        </w:rPr>
        <w:t>xx/xx</w:t>
      </w:r>
      <w:r w:rsidR="00746CEE" w:rsidRPr="0038097B">
        <w:rPr>
          <w:rStyle w:val="MCDEMfooterevencode"/>
        </w:rPr>
        <w:t>]</w:t>
      </w:r>
      <w:r w:rsidR="00746CEE">
        <w:rPr>
          <w:rStyle w:val="MCDEMfooterevencode"/>
        </w:rPr>
        <w:tab/>
      </w:r>
      <w:fldSimple w:instr=" FILENAME   \* MERGEFORMAT ">
        <w:r w:rsidR="00746CEE" w:rsidRPr="00746CEE">
          <w:rPr>
            <w:rStyle w:val="MCDEMfooterevencode"/>
            <w:noProof/>
          </w:rPr>
          <w:t>DGL</w:t>
        </w:r>
        <w:r w:rsidR="00746CEE">
          <w:rPr>
            <w:noProof/>
          </w:rPr>
          <w:t xml:space="preserve"> 11-15 - PART II Section 11 HGAS - non-secure</w:t>
        </w:r>
      </w:fldSimple>
    </w:p>
    <w:p w:rsidR="00746CEE" w:rsidRDefault="00746CEE">
      <w:pPr>
        <w:pStyle w:val="Footer"/>
      </w:pPr>
    </w:p>
    <w:p w:rsidR="00746CEE" w:rsidRDefault="00746CEE"/>
    <w:p w:rsidR="00746CEE" w:rsidRPr="009F6AEB" w:rsidRDefault="00B505C0" w:rsidP="00613F58">
      <w:pPr>
        <w:tabs>
          <w:tab w:val="right" w:pos="14884"/>
          <w:tab w:val="right" w:pos="15168"/>
        </w:tabs>
      </w:pPr>
      <w:fldSimple w:instr=" FILENAME   \* MERGEFORMAT ">
        <w:r w:rsidR="00746CEE" w:rsidRPr="00746CEE">
          <w:rPr>
            <w:rStyle w:val="MCDEMfooteroddChar"/>
            <w:noProof/>
          </w:rPr>
          <w:t>DGL</w:t>
        </w:r>
        <w:r w:rsidR="00746CEE">
          <w:rPr>
            <w:noProof/>
          </w:rPr>
          <w:t xml:space="preserve"> 11-15 - PART II Section 11 HGAS - non-secure</w:t>
        </w:r>
      </w:fldSimple>
      <w:r w:rsidR="00746CEE" w:rsidRPr="009F6AEB">
        <w:tab/>
      </w:r>
      <w:r w:rsidR="00746CEE" w:rsidRPr="00E50A41">
        <w:rPr>
          <w:rStyle w:val="MCDEMfooteroddChar"/>
          <w:highlight w:val="green"/>
        </w:rPr>
        <w:t>xxx</w:t>
      </w:r>
      <w:r w:rsidR="00746CEE" w:rsidRPr="009F6AEB">
        <w:rPr>
          <w:rStyle w:val="MCDEMfooteroddChar"/>
        </w:rPr>
        <w:t xml:space="preserve"> Director’s Guideline</w:t>
      </w:r>
      <w:r w:rsidR="00746CEE" w:rsidRPr="009F6AEB">
        <w:t xml:space="preserve"> </w:t>
      </w:r>
      <w:r w:rsidR="00746CEE" w:rsidRPr="009F6AEB">
        <w:rPr>
          <w:rStyle w:val="MCDEMfooteroddcode"/>
        </w:rPr>
        <w:t xml:space="preserve">[DGL </w:t>
      </w:r>
      <w:r w:rsidR="00746CEE" w:rsidRPr="00E50A41">
        <w:rPr>
          <w:rStyle w:val="MCDEMfooteroddcode"/>
          <w:highlight w:val="green"/>
        </w:rPr>
        <w:t>xx/xx</w:t>
      </w:r>
      <w:r w:rsidR="00746CEE" w:rsidRPr="009F6AEB">
        <w:rPr>
          <w:rStyle w:val="MCDEMfooteroddcode"/>
        </w:rPr>
        <w:t>]</w:t>
      </w:r>
      <w:r w:rsidR="00746CEE" w:rsidRPr="009F6AEB">
        <w:tab/>
      </w:r>
      <w:r w:rsidRPr="001D3D08">
        <w:rPr>
          <w:rStyle w:val="MCDEMfooterpagenumber"/>
        </w:rPr>
        <w:fldChar w:fldCharType="begin"/>
      </w:r>
      <w:r w:rsidR="00746CEE" w:rsidRPr="001D3D08">
        <w:rPr>
          <w:rStyle w:val="MCDEMfooterpagenumber"/>
        </w:rPr>
        <w:instrText xml:space="preserve"> PAGE   \* MERGEFORMAT </w:instrText>
      </w:r>
      <w:r w:rsidRPr="001D3D08">
        <w:rPr>
          <w:rStyle w:val="MCDEMfooterpagenumber"/>
        </w:rPr>
        <w:fldChar w:fldCharType="separate"/>
      </w:r>
      <w:r w:rsidR="00746CEE">
        <w:rPr>
          <w:rStyle w:val="MCDEMfooterpagenumber"/>
          <w:noProof/>
        </w:rPr>
        <w:t>76</w:t>
      </w:r>
      <w:r w:rsidRPr="001D3D08">
        <w:rPr>
          <w:rStyle w:val="MCDEMfooterpagenumber"/>
        </w:rPr>
        <w:fldChar w:fldCharType="end"/>
      </w:r>
    </w:p>
    <w:p w:rsidR="00746CEE" w:rsidRDefault="00746CEE">
      <w:pPr>
        <w:pStyle w:val="Footer"/>
      </w:pPr>
    </w:p>
    <w:p w:rsidR="00746CEE" w:rsidRDefault="00746CEE"/>
    <w:p w:rsidR="00746CEE" w:rsidRDefault="00746CEE" w:rsidP="003C4DF1">
      <w:r>
        <w:separator/>
      </w:r>
    </w:p>
    <w:p w:rsidR="00746CEE" w:rsidRDefault="00746CEE"/>
  </w:footnote>
  <w:footnote w:type="continuationSeparator" w:id="0">
    <w:p w:rsidR="00746CEE" w:rsidRDefault="00746CEE" w:rsidP="003C4DF1">
      <w:r>
        <w:continuationSeparator/>
      </w:r>
    </w:p>
    <w:p w:rsidR="00746CEE" w:rsidRDefault="00746C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EC0ACB" w:rsidRDefault="00746CEE" w:rsidP="00EC0A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5B276C" w:rsidRDefault="00746CEE" w:rsidP="005B276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5B276C" w:rsidRDefault="00746CEE" w:rsidP="005B276C">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EE" w:rsidRPr="00771D82" w:rsidRDefault="00746CEE" w:rsidP="00771D82">
    <w:pPr>
      <w:pStyle w:val="MCDEM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4B30FCFE"/>
    <w:lvl w:ilvl="0">
      <w:start w:val="11"/>
      <w:numFmt w:val="decimal"/>
      <w:pStyle w:val="Heading1"/>
      <w:suff w:val="space"/>
      <w:lvlText w:val="Section %1"/>
      <w:lvlJc w:val="left"/>
      <w:pPr>
        <w:ind w:left="1419"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1419"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1419"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1419" w:firstLine="0"/>
      </w:pPr>
      <w:rPr>
        <w:rFonts w:hint="default"/>
      </w:rPr>
    </w:lvl>
    <w:lvl w:ilvl="5">
      <w:start w:val="1"/>
      <w:numFmt w:val="upperLetter"/>
      <w:lvlRestart w:val="0"/>
      <w:pStyle w:val="Heading6"/>
      <w:suff w:val="space"/>
      <w:lvlText w:val="Appendix %6"/>
      <w:lvlJc w:val="left"/>
      <w:pPr>
        <w:ind w:left="1419"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1419" w:firstLine="0"/>
      </w:pPr>
      <w:rPr>
        <w:rFonts w:hint="default"/>
      </w:rPr>
    </w:lvl>
    <w:lvl w:ilvl="8">
      <w:start w:val="1"/>
      <w:numFmt w:val="decimal"/>
      <w:lvlText w:val="%1.%2.%3.%4.%5.%6.%7.%8.%9"/>
      <w:lvlJc w:val="left"/>
      <w:pPr>
        <w:ind w:left="1419"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GQ37dypIKDV5lu3l93OlB9oyOZQ=" w:salt="I61QjkO4WTiRRqRkYBS2Zw=="/>
  <w:zoom w:percent="80"/>
  <w:mirrorMargins/>
  <w:proofState w:spelling="clean" w:grammar="clean"/>
  <w:stylePaneFormatFilter w:val="5704"/>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88"/>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08D"/>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2FA"/>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2C7"/>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04AB"/>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2E76"/>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65B1"/>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C4C"/>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2C9C"/>
    <w:rsid w:val="00443123"/>
    <w:rsid w:val="00444C9C"/>
    <w:rsid w:val="004458A8"/>
    <w:rsid w:val="00445C01"/>
    <w:rsid w:val="00445C36"/>
    <w:rsid w:val="00445CDB"/>
    <w:rsid w:val="00446C50"/>
    <w:rsid w:val="00447149"/>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527"/>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1D05"/>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1D0"/>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C97"/>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5A7"/>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3DC"/>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6CEE"/>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30A"/>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7E6"/>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54D"/>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B0D"/>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BEC"/>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1A4C"/>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21A"/>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6F8D"/>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05C0"/>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417A"/>
    <w:rsid w:val="00D05292"/>
    <w:rsid w:val="00D05918"/>
    <w:rsid w:val="00D065FF"/>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C8A"/>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7EF"/>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ECC"/>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0ACB"/>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8E9"/>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67ED"/>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79A"/>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1F04AB"/>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1F04AB"/>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F04AB"/>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4AB"/>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1F04AB"/>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F04AB"/>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1F04AB"/>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1F04AB"/>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F04AB"/>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4AB"/>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1F04AB"/>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F04AB"/>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civildefence.govt.nz" TargetMode="External"/><Relationship Id="rId39" Type="http://schemas.openxmlformats.org/officeDocument/2006/relationships/hyperlink" Target="http://www.civildefence.govt.nz" TargetMode="External"/><Relationship Id="rId3" Type="http://schemas.openxmlformats.org/officeDocument/2006/relationships/styles" Target="styles.xml"/><Relationship Id="rId21" Type="http://schemas.openxmlformats.org/officeDocument/2006/relationships/hyperlink" Target="http://www.civildefence.govt.nz" TargetMode="External"/><Relationship Id="rId34" Type="http://schemas.openxmlformats.org/officeDocument/2006/relationships/hyperlink" Target="http://www.privacy.org.nz"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yperlink" Target="http://www.health.govt.nz" TargetMode="External"/><Relationship Id="rId33" Type="http://schemas.openxmlformats.org/officeDocument/2006/relationships/hyperlink" Target="http://www.legislation.govt.nz" TargetMode="External"/><Relationship Id="rId38" Type="http://schemas.openxmlformats.org/officeDocument/2006/relationships/hyperlink" Target="http://www.childrensactionplan.govt.n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ivildefence.govt.nz" TargetMode="External"/><Relationship Id="rId29" Type="http://schemas.openxmlformats.org/officeDocument/2006/relationships/footer" Target="footer5.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health.govt.nz" TargetMode="External"/><Relationship Id="rId32" Type="http://schemas.openxmlformats.org/officeDocument/2006/relationships/hyperlink" Target="http://www.spherehandbook.org" TargetMode="External"/><Relationship Id="rId37" Type="http://schemas.openxmlformats.org/officeDocument/2006/relationships/hyperlink" Target="http://www.legislation.govt.nz" TargetMode="External"/><Relationship Id="rId40" Type="http://schemas.openxmlformats.org/officeDocument/2006/relationships/hyperlink" Target="http://www.civildefence.govt.nz"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mpi.govt.nz" TargetMode="External"/><Relationship Id="rId28" Type="http://schemas.openxmlformats.org/officeDocument/2006/relationships/header" Target="header3.xml"/><Relationship Id="rId36" Type="http://schemas.openxmlformats.org/officeDocument/2006/relationships/hyperlink" Target="http://www.police.govt.nz" TargetMode="Externa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http://www.civildefence.govt.n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hyperlink" Target="http://www.civildefence.govt.nz" TargetMode="External"/><Relationship Id="rId27" Type="http://schemas.openxmlformats.org/officeDocument/2006/relationships/hyperlink" Target="http://www.civildefence.govt.nz" TargetMode="External"/><Relationship Id="rId30" Type="http://schemas.openxmlformats.org/officeDocument/2006/relationships/hyperlink" Target="http://www.hrc.co.nz" TargetMode="External"/><Relationship Id="rId35" Type="http://schemas.openxmlformats.org/officeDocument/2006/relationships/hyperlink" Target="http://www.privacy.org.nz"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D993-9540-4A89-9B1B-BC757E56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5588</Words>
  <Characters>31853</Characters>
  <Application>Microsoft Office Word</Application>
  <DocSecurity>6</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37367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11 HGAS - November 2015 - Ministry of Civil Defence &amp; Emergency Management</dc:title>
  <dc:creator>Ministry of Civil Defence &amp; Emergency Management</dc:creator>
  <cp:lastModifiedBy>Jaynia Steel [CASS]</cp:lastModifiedBy>
  <cp:revision>3</cp:revision>
  <cp:lastPrinted>2015-11-04T01:20:00Z</cp:lastPrinted>
  <dcterms:created xsi:type="dcterms:W3CDTF">2015-11-12T19:01:00Z</dcterms:created>
  <dcterms:modified xsi:type="dcterms:W3CDTF">2015-11-15T21:05:00Z</dcterms:modified>
</cp:coreProperties>
</file>