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14556BFC" w:rsidR="009E729D" w:rsidRPr="00AB20BB" w:rsidRDefault="009E729D" w:rsidP="00431D1A">
      <w:pPr>
        <w:pStyle w:val="BodyText2"/>
        <w:rPr>
          <w:lang w:val="es-ES_tradnl"/>
        </w:rPr>
      </w:pPr>
      <w:r w:rsidRPr="00AB20BB">
        <w:rPr>
          <w:lang w:val="es-ES_tradnl"/>
        </w:rPr>
        <w:t xml:space="preserve">Fortalecimiento de la legislación neozelandesa sobre gestión de emergencias </w:t>
      </w:r>
    </w:p>
    <w:p w14:paraId="5D8B9CD1" w14:textId="37FBB21A" w:rsidR="00417EEB" w:rsidRPr="00AB20BB" w:rsidRDefault="0024014B" w:rsidP="00467D12">
      <w:pPr>
        <w:pStyle w:val="BodyText"/>
        <w:rPr>
          <w:lang w:val="es-ES_tradnl"/>
        </w:rPr>
      </w:pPr>
      <w:r w:rsidRPr="00AB20BB">
        <w:rPr>
          <w:lang w:val="es-ES_tradnl"/>
        </w:rPr>
        <w:t xml:space="preserve">Nueva Zelanda es vulnerable a una amplia gama de peligros que podrían causar desastres, como inundaciones, incendios forestales, pandemias, terremotos o fallos de las infraestructuras. Como país, debemos aprender de las emergencias del pasado para reforzar nuestra resiliencia ante los desastres. </w:t>
      </w:r>
    </w:p>
    <w:p w14:paraId="0F2B6B1E" w14:textId="14BBDCAF" w:rsidR="00F84358" w:rsidRPr="00AB20BB" w:rsidRDefault="00480186" w:rsidP="00F84358">
      <w:pPr>
        <w:rPr>
          <w:rFonts w:ascii="Segoe UI" w:hAnsi="Segoe UI" w:cs="Segoe UI"/>
          <w:sz w:val="21"/>
          <w:szCs w:val="21"/>
          <w:lang w:val="es-ES_tradnl"/>
        </w:rPr>
      </w:pPr>
      <w:r w:rsidRPr="00AB20BB">
        <w:rPr>
          <w:rFonts w:ascii="Segoe UI" w:hAnsi="Segoe UI"/>
          <w:sz w:val="21"/>
          <w:lang w:val="es-ES_tradnl"/>
        </w:rPr>
        <w:t xml:space="preserve">El Gobierno tiene previsto introducir una nueva ley a finales de este año para reforzar y modernizar la forma en que Nueva Zelanda gestiona el riesgo de emergencias. Esta </w:t>
      </w:r>
      <w:r w:rsidR="00B24429" w:rsidRPr="00AB20BB">
        <w:rPr>
          <w:rFonts w:ascii="Segoe UI" w:hAnsi="Segoe UI"/>
          <w:sz w:val="21"/>
          <w:lang w:val="es-ES_tradnl"/>
        </w:rPr>
        <w:t>ley</w:t>
      </w:r>
      <w:r w:rsidRPr="00AB20BB">
        <w:rPr>
          <w:rFonts w:ascii="Segoe UI" w:hAnsi="Segoe UI"/>
          <w:sz w:val="21"/>
          <w:lang w:val="es-ES_tradnl"/>
        </w:rPr>
        <w:t xml:space="preserve"> sustituirá la Ley de Gestión de Emergencias de Defensa Civil de 2002.</w:t>
      </w:r>
    </w:p>
    <w:p w14:paraId="7A4D1146" w14:textId="110247DD" w:rsidR="00480186" w:rsidRPr="00AB20BB" w:rsidRDefault="00480186" w:rsidP="00F84358">
      <w:pPr>
        <w:rPr>
          <w:rFonts w:ascii="Segoe UI" w:hAnsi="Segoe UI" w:cs="Segoe UI"/>
          <w:sz w:val="21"/>
          <w:szCs w:val="21"/>
          <w:lang w:val="es-ES_tradnl"/>
        </w:rPr>
      </w:pPr>
      <w:r w:rsidRPr="00AB20BB">
        <w:rPr>
          <w:rFonts w:ascii="Open Sans Condensed" w:hAnsi="Open Sans Condensed"/>
          <w:b/>
          <w:bCs/>
          <w:noProof/>
          <w:color w:val="0E2841" w:themeColor="text2"/>
          <w:sz w:val="50"/>
          <w:szCs w:val="50"/>
          <w:lang w:val="es-ES_tradnl"/>
        </w:rPr>
        <mc:AlternateContent>
          <mc:Choice Requires="wps">
            <w:drawing>
              <wp:anchor distT="45720" distB="45720" distL="114300" distR="114300" simplePos="0" relativeHeight="251659264" behindDoc="0" locked="0" layoutInCell="1" allowOverlap="1" wp14:anchorId="604A4C13" wp14:editId="70C4C379">
                <wp:simplePos x="0" y="0"/>
                <wp:positionH relativeFrom="margin">
                  <wp:posOffset>-107950</wp:posOffset>
                </wp:positionH>
                <wp:positionV relativeFrom="paragraph">
                  <wp:posOffset>960120</wp:posOffset>
                </wp:positionV>
                <wp:extent cx="5962650" cy="14706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7066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1B61B2" w:rsidRDefault="009E729D">
                            <w:pPr>
                              <w:rPr>
                                <w:rFonts w:ascii="Segoe UI" w:hAnsi="Segoe UI" w:cs="Segoe UI"/>
                                <w:b/>
                                <w:bCs/>
                                <w:color w:val="215E99" w:themeColor="text2" w:themeTint="BF"/>
                                <w:sz w:val="21"/>
                                <w:szCs w:val="21"/>
                                <w:lang w:val="es-ES"/>
                              </w:rPr>
                            </w:pPr>
                            <w:r w:rsidRPr="001B61B2">
                              <w:rPr>
                                <w:rFonts w:ascii="Segoe UI" w:hAnsi="Segoe UI"/>
                                <w:b/>
                                <w:color w:val="215E99" w:themeColor="text2" w:themeTint="BF"/>
                                <w:sz w:val="21"/>
                                <w:lang w:val="es-ES"/>
                              </w:rPr>
                              <w:t>Proceso de consulta</w:t>
                            </w:r>
                          </w:p>
                          <w:p w14:paraId="588EBCF0" w14:textId="2725B1BA" w:rsidR="009E729D" w:rsidRDefault="00480186">
                            <w:pPr>
                              <w:rPr>
                                <w:rFonts w:ascii="Segoe UI" w:hAnsi="Segoe UI"/>
                                <w:sz w:val="21"/>
                                <w:lang w:val="es-ES"/>
                              </w:rPr>
                            </w:pPr>
                            <w:r w:rsidRPr="001B61B2">
                              <w:rPr>
                                <w:rFonts w:ascii="Segoe UI" w:hAnsi="Segoe UI"/>
                                <w:sz w:val="21"/>
                                <w:lang w:val="es-ES"/>
                              </w:rPr>
                              <w:t>En el sitio web de la NEMA encontrará el documento de consulta completo y más información sobre cómo expresar su opinión.</w:t>
                            </w:r>
                          </w:p>
                          <w:p w14:paraId="29D80B9B" w14:textId="0B0F2DDA" w:rsidR="001C460E" w:rsidRPr="00B245AB" w:rsidRDefault="00B245AB" w:rsidP="001C460E">
                            <w:pPr>
                              <w:rPr>
                                <w:rFonts w:ascii="Segoe UI" w:hAnsi="Segoe UI" w:cs="Segoe UI"/>
                                <w:b/>
                                <w:bCs/>
                                <w:sz w:val="21"/>
                                <w:szCs w:val="21"/>
                                <w:lang w:val="es-ES"/>
                              </w:rPr>
                            </w:pPr>
                            <w:hyperlink r:id="rId8" w:history="1">
                              <w:r w:rsidR="001B61B2" w:rsidRPr="00B245AB">
                                <w:rPr>
                                  <w:rStyle w:val="Hyperlink"/>
                                  <w:rFonts w:ascii="Segoe UI" w:hAnsi="Segoe UI" w:cs="Segoe UI"/>
                                  <w:b/>
                                  <w:bCs/>
                                  <w:sz w:val="21"/>
                                  <w:szCs w:val="21"/>
                                  <w:lang w:val="es-ES"/>
                                </w:rPr>
                                <w:t>Consulta sobre el proyecto de ley de gestión de emergencias</w:t>
                              </w:r>
                            </w:hyperlink>
                          </w:p>
                          <w:p w14:paraId="6AC9A364" w14:textId="3BCCD6A0" w:rsidR="009E729D" w:rsidRPr="001B61B2" w:rsidRDefault="009E729D">
                            <w:pPr>
                              <w:rPr>
                                <w:rFonts w:ascii="Segoe UI" w:hAnsi="Segoe UI" w:cs="Segoe UI"/>
                                <w:sz w:val="21"/>
                                <w:szCs w:val="21"/>
                                <w:lang w:val="es-ES"/>
                              </w:rPr>
                            </w:pPr>
                            <w:r w:rsidRPr="00B245AB">
                              <w:rPr>
                                <w:rFonts w:ascii="Segoe UI" w:hAnsi="Segoe UI"/>
                                <w:sz w:val="21"/>
                                <w:szCs w:val="21"/>
                                <w:lang w:val="es-ES"/>
                              </w:rPr>
                              <w:t xml:space="preserve">La consulta pública </w:t>
                            </w:r>
                            <w:r w:rsidRPr="00B245AB">
                              <w:rPr>
                                <w:rFonts w:ascii="Segoe UI" w:hAnsi="Segoe UI"/>
                                <w:b/>
                                <w:sz w:val="21"/>
                                <w:lang w:val="es-ES"/>
                              </w:rPr>
                              <w:t xml:space="preserve">se cerrará a las 17.00 horas del </w:t>
                            </w:r>
                            <w:r w:rsidR="008532E7" w:rsidRPr="00B245AB">
                              <w:rPr>
                                <w:rFonts w:ascii="Segoe UI" w:hAnsi="Segoe UI"/>
                                <w:b/>
                                <w:bCs/>
                                <w:sz w:val="21"/>
                                <w:szCs w:val="21"/>
                                <w:lang w:val="es-ES"/>
                              </w:rPr>
                              <w:t>13 de mayo</w:t>
                            </w:r>
                            <w:r w:rsidRPr="00B245AB">
                              <w:rPr>
                                <w:rFonts w:ascii="Segoe UI" w:hAnsi="Segoe UI"/>
                                <w:b/>
                                <w:sz w:val="21"/>
                                <w:lang w:val="es-ES"/>
                              </w:rPr>
                              <w:t xml:space="preserve"> de 2025</w:t>
                            </w:r>
                            <w:r w:rsidRPr="00B245AB">
                              <w:rPr>
                                <w:rFonts w:ascii="Segoe UI" w:hAnsi="Segoe UI"/>
                                <w:sz w:val="21"/>
                                <w:lang w:val="es-ES"/>
                              </w:rPr>
                              <w:t>.</w:t>
                            </w:r>
                            <w:r w:rsidRPr="001B61B2">
                              <w:rPr>
                                <w:rFonts w:ascii="Segoe UI" w:hAnsi="Segoe UI"/>
                                <w:sz w:val="21"/>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8.5pt;margin-top:75.6pt;width:469.5pt;height:11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" fillcolor="#dceaf7 [351]" strokecolor="#215e99 [2431]" strokeweight="1.25pt">
                <v:textbox>
                  <w:txbxContent>
                    <w:p w14:paraId="5C65D24B" w14:textId="67EE2F15" w:rsidR="009E729D" w:rsidRPr="001B61B2" w:rsidRDefault="009E729D">
                      <w:pPr>
                        <w:rPr>
                          <w:rFonts w:ascii="Segoe UI" w:hAnsi="Segoe UI" w:cs="Segoe UI"/>
                          <w:b/>
                          <w:bCs/>
                          <w:color w:val="215E99" w:themeColor="text2" w:themeTint="BF"/>
                          <w:sz w:val="21"/>
                          <w:szCs w:val="21"/>
                          <w:lang w:val="es-ES"/>
                        </w:rPr>
                      </w:pPr>
                      <w:r w:rsidRPr="001B61B2">
                        <w:rPr>
                          <w:rFonts w:ascii="Segoe UI" w:hAnsi="Segoe UI"/>
                          <w:b/>
                          <w:color w:val="215E99" w:themeColor="text2" w:themeTint="BF"/>
                          <w:sz w:val="21"/>
                          <w:lang w:val="es-ES"/>
                        </w:rPr>
                        <w:t>Proceso de consulta</w:t>
                      </w:r>
                    </w:p>
                    <w:p w14:paraId="588EBCF0" w14:textId="2725B1BA" w:rsidR="009E729D" w:rsidRDefault="00480186">
                      <w:pPr>
                        <w:rPr>
                          <w:rFonts w:ascii="Segoe UI" w:hAnsi="Segoe UI"/>
                          <w:sz w:val="21"/>
                          <w:lang w:val="es-ES"/>
                        </w:rPr>
                      </w:pPr>
                      <w:r w:rsidRPr="001B61B2">
                        <w:rPr>
                          <w:rFonts w:ascii="Segoe UI" w:hAnsi="Segoe UI"/>
                          <w:sz w:val="21"/>
                          <w:lang w:val="es-ES"/>
                        </w:rPr>
                        <w:t>En el sitio web de la NEMA encontrará el documento de consulta completo y más información sobre cómo expresar su opinión.</w:t>
                      </w:r>
                    </w:p>
                    <w:p w14:paraId="29D80B9B" w14:textId="0B0F2DDA" w:rsidR="001C460E" w:rsidRPr="00B245AB" w:rsidRDefault="00B245AB" w:rsidP="001C460E">
                      <w:pPr>
                        <w:rPr>
                          <w:rFonts w:ascii="Segoe UI" w:hAnsi="Segoe UI" w:cs="Segoe UI"/>
                          <w:b/>
                          <w:bCs/>
                          <w:sz w:val="21"/>
                          <w:szCs w:val="21"/>
                          <w:lang w:val="es-ES"/>
                        </w:rPr>
                      </w:pPr>
                      <w:hyperlink r:id="rId9" w:history="1">
                        <w:r w:rsidR="001B61B2" w:rsidRPr="00B245AB">
                          <w:rPr>
                            <w:rStyle w:val="Hyperlink"/>
                            <w:rFonts w:ascii="Segoe UI" w:hAnsi="Segoe UI" w:cs="Segoe UI"/>
                            <w:b/>
                            <w:bCs/>
                            <w:sz w:val="21"/>
                            <w:szCs w:val="21"/>
                            <w:lang w:val="es-ES"/>
                          </w:rPr>
                          <w:t>Consulta sobre el proyecto de ley de gestión de emergencias</w:t>
                        </w:r>
                      </w:hyperlink>
                    </w:p>
                    <w:p w14:paraId="6AC9A364" w14:textId="3BCCD6A0" w:rsidR="009E729D" w:rsidRPr="001B61B2" w:rsidRDefault="009E729D">
                      <w:pPr>
                        <w:rPr>
                          <w:rFonts w:ascii="Segoe UI" w:hAnsi="Segoe UI" w:cs="Segoe UI"/>
                          <w:sz w:val="21"/>
                          <w:szCs w:val="21"/>
                          <w:lang w:val="es-ES"/>
                        </w:rPr>
                      </w:pPr>
                      <w:r w:rsidRPr="00B245AB">
                        <w:rPr>
                          <w:rFonts w:ascii="Segoe UI" w:hAnsi="Segoe UI"/>
                          <w:sz w:val="21"/>
                          <w:szCs w:val="21"/>
                          <w:lang w:val="es-ES"/>
                        </w:rPr>
                        <w:t xml:space="preserve">La consulta pública </w:t>
                      </w:r>
                      <w:r w:rsidRPr="00B245AB">
                        <w:rPr>
                          <w:rFonts w:ascii="Segoe UI" w:hAnsi="Segoe UI"/>
                          <w:b/>
                          <w:sz w:val="21"/>
                          <w:lang w:val="es-ES"/>
                        </w:rPr>
                        <w:t xml:space="preserve">se cerrará a las 17.00 horas del </w:t>
                      </w:r>
                      <w:r w:rsidR="008532E7" w:rsidRPr="00B245AB">
                        <w:rPr>
                          <w:rFonts w:ascii="Segoe UI" w:hAnsi="Segoe UI"/>
                          <w:b/>
                          <w:bCs/>
                          <w:sz w:val="21"/>
                          <w:szCs w:val="21"/>
                          <w:lang w:val="es-ES"/>
                        </w:rPr>
                        <w:t>13 de mayo</w:t>
                      </w:r>
                      <w:r w:rsidRPr="00B245AB">
                        <w:rPr>
                          <w:rFonts w:ascii="Segoe UI" w:hAnsi="Segoe UI"/>
                          <w:b/>
                          <w:sz w:val="21"/>
                          <w:lang w:val="es-ES"/>
                        </w:rPr>
                        <w:t xml:space="preserve"> de 2025</w:t>
                      </w:r>
                      <w:r w:rsidRPr="00B245AB">
                        <w:rPr>
                          <w:rFonts w:ascii="Segoe UI" w:hAnsi="Segoe UI"/>
                          <w:sz w:val="21"/>
                          <w:lang w:val="es-ES"/>
                        </w:rPr>
                        <w:t>.</w:t>
                      </w:r>
                      <w:r w:rsidRPr="001B61B2">
                        <w:rPr>
                          <w:rFonts w:ascii="Segoe UI" w:hAnsi="Segoe UI"/>
                          <w:sz w:val="21"/>
                          <w:lang w:val="es-ES"/>
                        </w:rPr>
                        <w:t xml:space="preserve"> </w:t>
                      </w:r>
                    </w:p>
                  </w:txbxContent>
                </v:textbox>
                <w10:wrap type="square" anchorx="margin"/>
              </v:shape>
            </w:pict>
          </mc:Fallback>
        </mc:AlternateContent>
      </w:r>
      <w:r w:rsidRPr="00AB20BB">
        <w:rPr>
          <w:rFonts w:ascii="Segoe UI" w:hAnsi="Segoe UI"/>
          <w:sz w:val="21"/>
          <w:lang w:val="es-ES_tradnl"/>
        </w:rPr>
        <w:t xml:space="preserve">Como parte de este proceso, la Agencia Nacional de Gestión de Emergencias (NEMA) desea conocer la opinión de la población sobre </w:t>
      </w:r>
      <w:r w:rsidR="004874C6" w:rsidRPr="00AB20BB">
        <w:rPr>
          <w:rFonts w:ascii="Segoe UI" w:hAnsi="Segoe UI"/>
          <w:sz w:val="21"/>
          <w:lang w:val="es-ES_tradnl"/>
        </w:rPr>
        <w:t>los temas</w:t>
      </w:r>
      <w:r w:rsidRPr="00AB20BB">
        <w:rPr>
          <w:rFonts w:ascii="Segoe UI" w:hAnsi="Segoe UI"/>
          <w:sz w:val="21"/>
          <w:lang w:val="es-ES_tradnl"/>
        </w:rPr>
        <w:t xml:space="preserve"> y </w:t>
      </w:r>
      <w:r w:rsidR="004874C6" w:rsidRPr="00AB20BB">
        <w:rPr>
          <w:rFonts w:ascii="Segoe UI" w:hAnsi="Segoe UI"/>
          <w:sz w:val="21"/>
          <w:lang w:val="es-ES_tradnl"/>
        </w:rPr>
        <w:t xml:space="preserve">las </w:t>
      </w:r>
      <w:r w:rsidRPr="00AB20BB">
        <w:rPr>
          <w:rFonts w:ascii="Segoe UI" w:hAnsi="Segoe UI"/>
          <w:sz w:val="21"/>
          <w:lang w:val="es-ES_tradnl"/>
        </w:rPr>
        <w:t xml:space="preserve">opciones que se plantean en un documento </w:t>
      </w:r>
      <w:r w:rsidR="004874C6" w:rsidRPr="00AB20BB">
        <w:rPr>
          <w:rFonts w:ascii="Segoe UI" w:hAnsi="Segoe UI"/>
          <w:sz w:val="21"/>
          <w:lang w:val="es-ES_tradnl"/>
        </w:rPr>
        <w:t>de consulta</w:t>
      </w:r>
      <w:r w:rsidRPr="00AB20BB">
        <w:rPr>
          <w:rFonts w:ascii="Segoe UI" w:hAnsi="Segoe UI"/>
          <w:sz w:val="21"/>
          <w:lang w:val="es-ES_tradnl"/>
        </w:rPr>
        <w:t>. La opinión de la población servirá para orientar el asesoramiento que la NEMA prestará al Gobierno sobre el contenido de la ley.</w:t>
      </w:r>
    </w:p>
    <w:p w14:paraId="671CA063" w14:textId="09F9C675" w:rsidR="00867DE6" w:rsidRPr="00AB20BB" w:rsidRDefault="00867DE6" w:rsidP="00CB7738">
      <w:pPr>
        <w:spacing w:before="240"/>
        <w:rPr>
          <w:rFonts w:ascii="Segoe UI" w:hAnsi="Segoe UI" w:cs="Segoe UI"/>
          <w:b/>
          <w:bCs/>
          <w:i/>
          <w:iCs/>
          <w:color w:val="215E99" w:themeColor="text2" w:themeTint="BF"/>
          <w:sz w:val="24"/>
          <w:szCs w:val="24"/>
          <w:lang w:val="es-ES_tradnl"/>
        </w:rPr>
      </w:pPr>
      <w:r w:rsidRPr="00AB20BB">
        <w:rPr>
          <w:rFonts w:ascii="Segoe UI" w:hAnsi="Segoe UI"/>
          <w:b/>
          <w:i/>
          <w:color w:val="215E99" w:themeColor="text2" w:themeTint="BF"/>
          <w:sz w:val="24"/>
          <w:lang w:val="es-ES_tradnl"/>
        </w:rPr>
        <w:t>¿Qué hace la Ley de Gestión de Emergencias de Defensa Civil?</w:t>
      </w:r>
    </w:p>
    <w:p w14:paraId="33642ADA" w14:textId="48B347ED" w:rsidR="00B75D34" w:rsidRPr="00AB20BB" w:rsidRDefault="003E4D7C" w:rsidP="009E729D">
      <w:pPr>
        <w:rPr>
          <w:rFonts w:ascii="Segoe UI" w:hAnsi="Segoe UI" w:cs="Segoe UI"/>
          <w:sz w:val="21"/>
          <w:szCs w:val="21"/>
          <w:lang w:val="es-ES_tradnl"/>
        </w:rPr>
      </w:pPr>
      <w:r w:rsidRPr="00AB20BB">
        <w:rPr>
          <w:rFonts w:ascii="Segoe UI" w:hAnsi="Segoe UI"/>
          <w:sz w:val="21"/>
          <w:lang w:val="es-ES_tradnl"/>
        </w:rPr>
        <w:t>La Ley de Gestión de Emergencias de Defensa Civil:</w:t>
      </w:r>
    </w:p>
    <w:p w14:paraId="7BB9F5B0" w14:textId="374FEE6B" w:rsidR="005E34CC" w:rsidRPr="00AB20BB" w:rsidRDefault="00936007" w:rsidP="005E34CC">
      <w:pPr>
        <w:pStyle w:val="ListParagraph"/>
        <w:numPr>
          <w:ilvl w:val="0"/>
          <w:numId w:val="2"/>
        </w:numPr>
        <w:rPr>
          <w:rFonts w:ascii="Segoe UI" w:hAnsi="Segoe UI" w:cs="Segoe UI"/>
          <w:sz w:val="21"/>
          <w:szCs w:val="21"/>
          <w:lang w:val="es-ES_tradnl"/>
        </w:rPr>
      </w:pPr>
      <w:r w:rsidRPr="00AB20BB">
        <w:rPr>
          <w:rFonts w:ascii="Segoe UI" w:hAnsi="Segoe UI"/>
          <w:sz w:val="21"/>
          <w:lang w:val="es-ES_tradnl"/>
        </w:rPr>
        <w:t xml:space="preserve">asigna funciones y responsabilidades de gestión de emergencias a los organismos gubernamentales, las administraciones locales, los servicios de emergencia y las empresas </w:t>
      </w:r>
      <w:r w:rsidR="001C460E" w:rsidRPr="00AB20BB">
        <w:rPr>
          <w:rFonts w:ascii="Segoe UI" w:hAnsi="Segoe UI"/>
          <w:sz w:val="21"/>
          <w:lang w:val="es-ES_tradnl"/>
        </w:rPr>
        <w:t>que proporcionan</w:t>
      </w:r>
      <w:r w:rsidRPr="00AB20BB">
        <w:rPr>
          <w:rFonts w:ascii="Segoe UI" w:hAnsi="Segoe UI"/>
          <w:sz w:val="21"/>
          <w:lang w:val="es-ES_tradnl"/>
        </w:rPr>
        <w:t xml:space="preserve"> servicios básicos (como </w:t>
      </w:r>
      <w:r w:rsidR="001C460E" w:rsidRPr="00AB20BB">
        <w:rPr>
          <w:rFonts w:ascii="Segoe UI" w:hAnsi="Segoe UI"/>
          <w:sz w:val="21"/>
          <w:lang w:val="es-ES_tradnl"/>
        </w:rPr>
        <w:t>la</w:t>
      </w:r>
      <w:r w:rsidRPr="00AB20BB">
        <w:rPr>
          <w:rFonts w:ascii="Segoe UI" w:hAnsi="Segoe UI"/>
          <w:sz w:val="21"/>
          <w:lang w:val="es-ES_tradnl"/>
        </w:rPr>
        <w:t xml:space="preserve"> red eléctrica);</w:t>
      </w:r>
    </w:p>
    <w:p w14:paraId="4688820F" w14:textId="77777777" w:rsidR="005E34CC" w:rsidRPr="00AB20BB" w:rsidRDefault="005E34CC" w:rsidP="005E34CC">
      <w:pPr>
        <w:pStyle w:val="ListParagraph"/>
        <w:rPr>
          <w:rFonts w:ascii="Segoe UI" w:hAnsi="Segoe UI" w:cs="Segoe UI"/>
          <w:sz w:val="21"/>
          <w:szCs w:val="21"/>
          <w:lang w:val="es-ES_tradnl"/>
        </w:rPr>
      </w:pPr>
    </w:p>
    <w:p w14:paraId="7C15EBD5" w14:textId="650AE466" w:rsidR="005E34CC" w:rsidRPr="00AB20BB" w:rsidRDefault="005E34CC" w:rsidP="005E34CC">
      <w:pPr>
        <w:pStyle w:val="ListParagraph"/>
        <w:numPr>
          <w:ilvl w:val="0"/>
          <w:numId w:val="2"/>
        </w:numPr>
        <w:rPr>
          <w:rFonts w:ascii="Segoe UI" w:hAnsi="Segoe UI" w:cs="Segoe UI"/>
          <w:sz w:val="21"/>
          <w:szCs w:val="21"/>
          <w:lang w:val="es-ES_tradnl"/>
        </w:rPr>
      </w:pPr>
      <w:r w:rsidRPr="00AB20BB">
        <w:rPr>
          <w:rFonts w:ascii="Segoe UI" w:hAnsi="Segoe UI"/>
          <w:sz w:val="21"/>
          <w:lang w:val="es-ES_tradnl"/>
        </w:rPr>
        <w:t>concede facultades extraordinarias que se pueden utilizar para proteger a las personas y gestionar las consecuencias cuando se produce una emergencia;</w:t>
      </w:r>
    </w:p>
    <w:p w14:paraId="3BAE9B28" w14:textId="77777777" w:rsidR="005E34CC" w:rsidRPr="00AB20BB" w:rsidRDefault="005E34CC" w:rsidP="005E34CC">
      <w:pPr>
        <w:pStyle w:val="ListParagraph"/>
        <w:rPr>
          <w:rFonts w:ascii="Segoe UI" w:hAnsi="Segoe UI" w:cs="Segoe UI"/>
          <w:sz w:val="21"/>
          <w:szCs w:val="21"/>
          <w:lang w:val="es-ES_tradnl"/>
        </w:rPr>
      </w:pPr>
    </w:p>
    <w:p w14:paraId="6D3BBA4D" w14:textId="4329ED9A" w:rsidR="008532E7" w:rsidRPr="00AB20BB" w:rsidRDefault="008B3A74" w:rsidP="005E34CC">
      <w:pPr>
        <w:pStyle w:val="ListParagraph"/>
        <w:numPr>
          <w:ilvl w:val="0"/>
          <w:numId w:val="2"/>
        </w:numPr>
        <w:rPr>
          <w:rFonts w:ascii="Segoe UI" w:hAnsi="Segoe UI" w:cs="Segoe UI"/>
          <w:sz w:val="21"/>
          <w:szCs w:val="21"/>
          <w:lang w:val="es-ES_tradnl"/>
        </w:rPr>
      </w:pPr>
      <w:r w:rsidRPr="00AB20BB">
        <w:rPr>
          <w:rFonts w:ascii="Segoe UI" w:hAnsi="Segoe UI"/>
          <w:sz w:val="21"/>
          <w:lang w:val="es-ES_tradnl"/>
        </w:rPr>
        <w:t>establece requisitos en materia de planificación de la gestión de emergencias a escala nacional y local;</w:t>
      </w:r>
    </w:p>
    <w:p w14:paraId="2766FB95" w14:textId="77777777" w:rsidR="008532E7" w:rsidRPr="00AB20BB" w:rsidRDefault="008532E7" w:rsidP="008532E7">
      <w:pPr>
        <w:pStyle w:val="ListParagraph"/>
        <w:rPr>
          <w:rFonts w:ascii="Segoe UI" w:hAnsi="Segoe UI" w:cs="Segoe UI"/>
          <w:sz w:val="21"/>
          <w:szCs w:val="21"/>
          <w:lang w:val="es-ES_tradnl"/>
        </w:rPr>
      </w:pPr>
    </w:p>
    <w:p w14:paraId="21E4DDB2" w14:textId="1FDFC360" w:rsidR="00A55309" w:rsidRPr="00AB20BB" w:rsidRDefault="00E04297" w:rsidP="008B3A74">
      <w:pPr>
        <w:pStyle w:val="ListParagraph"/>
        <w:numPr>
          <w:ilvl w:val="0"/>
          <w:numId w:val="2"/>
        </w:numPr>
        <w:rPr>
          <w:rFonts w:ascii="Segoe UI" w:hAnsi="Segoe UI" w:cs="Segoe UI"/>
          <w:sz w:val="21"/>
          <w:szCs w:val="21"/>
          <w:lang w:val="es-ES_tradnl"/>
        </w:rPr>
      </w:pPr>
      <w:r w:rsidRPr="00AB20BB">
        <w:rPr>
          <w:rFonts w:ascii="Segoe UI" w:hAnsi="Segoe UI"/>
          <w:sz w:val="21"/>
          <w:lang w:val="es-ES_tradnl"/>
        </w:rPr>
        <w:t>otorga la capacidad de establecer expectativas y normas más detalladas sobre la gestión de emergencias mediante reglamentos o documentos no legislativos.</w:t>
      </w:r>
    </w:p>
    <w:p w14:paraId="5DCEA37D" w14:textId="77777777" w:rsidR="00085F1B" w:rsidRDefault="00085F1B">
      <w:pPr>
        <w:rPr>
          <w:rFonts w:ascii="Segoe UI" w:hAnsi="Segoe UI"/>
          <w:b/>
          <w:i/>
          <w:color w:val="215E99" w:themeColor="text2" w:themeTint="BF"/>
          <w:sz w:val="24"/>
          <w:lang w:val="es-ES_tradnl"/>
        </w:rPr>
      </w:pPr>
      <w:r>
        <w:rPr>
          <w:rFonts w:ascii="Segoe UI" w:hAnsi="Segoe UI"/>
          <w:b/>
          <w:i/>
          <w:color w:val="215E99" w:themeColor="text2" w:themeTint="BF"/>
          <w:sz w:val="24"/>
          <w:lang w:val="es-ES_tradnl"/>
        </w:rPr>
        <w:br w:type="page"/>
      </w:r>
    </w:p>
    <w:p w14:paraId="38BFE7F4" w14:textId="478BEB4C" w:rsidR="00867DE6" w:rsidRPr="00AB20BB" w:rsidRDefault="00867DE6" w:rsidP="000B7678">
      <w:pPr>
        <w:rPr>
          <w:rFonts w:ascii="Segoe UI" w:hAnsi="Segoe UI" w:cs="Segoe UI"/>
          <w:b/>
          <w:bCs/>
          <w:i/>
          <w:iCs/>
          <w:color w:val="215E99" w:themeColor="text2" w:themeTint="BF"/>
          <w:sz w:val="24"/>
          <w:szCs w:val="24"/>
          <w:lang w:val="es-ES_tradnl"/>
        </w:rPr>
      </w:pPr>
      <w:r w:rsidRPr="00AB20BB">
        <w:rPr>
          <w:rFonts w:ascii="Segoe UI" w:hAnsi="Segoe UI"/>
          <w:b/>
          <w:i/>
          <w:color w:val="215E99" w:themeColor="text2" w:themeTint="BF"/>
          <w:sz w:val="24"/>
          <w:lang w:val="es-ES_tradnl"/>
        </w:rPr>
        <w:lastRenderedPageBreak/>
        <w:t>¿Por qué es necesario cambiar la ley?</w:t>
      </w:r>
    </w:p>
    <w:p w14:paraId="436AF2C4" w14:textId="0230A95E" w:rsidR="00BE2C19" w:rsidRPr="00AB20BB" w:rsidRDefault="00934312" w:rsidP="009E729D">
      <w:pPr>
        <w:rPr>
          <w:rFonts w:ascii="Segoe UI" w:hAnsi="Segoe UI" w:cs="Segoe UI"/>
          <w:sz w:val="21"/>
          <w:szCs w:val="21"/>
          <w:lang w:val="es-ES_tradnl"/>
        </w:rPr>
      </w:pPr>
      <w:r w:rsidRPr="00AB20BB">
        <w:rPr>
          <w:rFonts w:ascii="Segoe UI" w:hAnsi="Segoe UI"/>
          <w:sz w:val="21"/>
          <w:lang w:val="es-ES_tradnl"/>
        </w:rPr>
        <w:t>Una investigación realizada tras el ciclón Gabrielle y otros exámenes han puesto de manifiesto la necesidad de mejorar la Ley de Gestión de Emergencias de Defensa Civil y la forma en que se gestionan las emergencias sobre el terreno.</w:t>
      </w:r>
    </w:p>
    <w:p w14:paraId="14F1A753" w14:textId="0F7AD08F" w:rsidR="006F1CA0" w:rsidRPr="00AB20BB" w:rsidRDefault="00BE2C19" w:rsidP="009E729D">
      <w:pPr>
        <w:rPr>
          <w:rFonts w:ascii="Segoe UI" w:hAnsi="Segoe UI"/>
          <w:sz w:val="21"/>
          <w:lang w:val="es-ES_tradnl"/>
        </w:rPr>
      </w:pPr>
      <w:r w:rsidRPr="00AB20BB">
        <w:rPr>
          <w:rFonts w:ascii="Segoe UI" w:hAnsi="Segoe UI"/>
          <w:sz w:val="21"/>
          <w:lang w:val="es-ES_tradnl"/>
        </w:rPr>
        <w:t>El Gobierno pretende responder a las investigaciones y exámenes mediante la promulgación de una nueva ley y la introducción de mejoras no legislativas (por ejemplo, ofreciendo formación). En el sitio web de la NEMA se ofrece más información sobre las áreas de interés del Gobierno en relación con esta labor:</w:t>
      </w:r>
    </w:p>
    <w:p w14:paraId="42D8CD7C" w14:textId="7A9410F1" w:rsidR="00AC0B44" w:rsidRPr="001B61B2" w:rsidRDefault="00B245AB" w:rsidP="00AC0B44">
      <w:pPr>
        <w:rPr>
          <w:rFonts w:ascii="Segoe UI" w:hAnsi="Segoe UI" w:cs="Segoe UI"/>
          <w:b/>
          <w:bCs/>
          <w:sz w:val="21"/>
          <w:szCs w:val="21"/>
          <w:lang w:val="es-ES"/>
        </w:rPr>
      </w:pPr>
      <w:hyperlink r:id="rId10" w:history="1">
        <w:r w:rsidR="001B61B2" w:rsidRPr="00B245AB">
          <w:rPr>
            <w:rStyle w:val="Hyperlink"/>
            <w:rFonts w:ascii="Segoe UI" w:hAnsi="Segoe UI" w:cs="Segoe UI"/>
            <w:b/>
            <w:bCs/>
            <w:sz w:val="21"/>
            <w:szCs w:val="21"/>
            <w:lang w:val="es-ES"/>
          </w:rPr>
          <w:t xml:space="preserve">Fortalecimiento de la resiliencia ante los desastres y la gestión de </w:t>
        </w:r>
        <w:r w:rsidR="00FA6B26" w:rsidRPr="00B245AB">
          <w:rPr>
            <w:rStyle w:val="Hyperlink"/>
            <w:rFonts w:ascii="Segoe UI" w:hAnsi="Segoe UI" w:cs="Segoe UI"/>
            <w:b/>
            <w:bCs/>
            <w:sz w:val="21"/>
            <w:szCs w:val="21"/>
            <w:lang w:val="es-ES"/>
          </w:rPr>
          <w:t xml:space="preserve">las </w:t>
        </w:r>
        <w:r w:rsidR="001B61B2" w:rsidRPr="00B245AB">
          <w:rPr>
            <w:rStyle w:val="Hyperlink"/>
            <w:rFonts w:ascii="Segoe UI" w:hAnsi="Segoe UI" w:cs="Segoe UI"/>
            <w:b/>
            <w:bCs/>
            <w:sz w:val="21"/>
            <w:szCs w:val="21"/>
            <w:lang w:val="es-ES"/>
          </w:rPr>
          <w:t>emergencias</w:t>
        </w:r>
      </w:hyperlink>
    </w:p>
    <w:p w14:paraId="259317F9" w14:textId="058A8B7A" w:rsidR="00A05CDA" w:rsidRPr="00AB20BB" w:rsidRDefault="008D1A19" w:rsidP="009E729D">
      <w:pPr>
        <w:rPr>
          <w:rFonts w:ascii="Segoe UI" w:hAnsi="Segoe UI" w:cs="Segoe UI"/>
          <w:sz w:val="21"/>
          <w:szCs w:val="21"/>
          <w:lang w:val="es-ES_tradnl"/>
        </w:rPr>
      </w:pPr>
      <w:r w:rsidRPr="00AB20BB">
        <w:rPr>
          <w:rFonts w:ascii="Segoe UI" w:hAnsi="Segoe UI"/>
          <w:sz w:val="21"/>
          <w:lang w:val="es-ES_tradnl"/>
        </w:rPr>
        <w:t xml:space="preserve">A continuación se resumen los objetivos propuestos por el Gobierno respecto a la nueva ley y los temas relacionados con ellos. También presentamos un resumen de las </w:t>
      </w:r>
      <w:r w:rsidR="008918E9" w:rsidRPr="00AB20BB">
        <w:rPr>
          <w:rFonts w:ascii="Segoe UI" w:hAnsi="Segoe UI"/>
          <w:sz w:val="21"/>
          <w:lang w:val="es-ES_tradnl"/>
        </w:rPr>
        <w:t>opciones sobre cómo</w:t>
      </w:r>
      <w:r w:rsidRPr="00AB20BB">
        <w:rPr>
          <w:rFonts w:ascii="Segoe UI" w:hAnsi="Segoe UI"/>
          <w:sz w:val="21"/>
          <w:lang w:val="es-ES_tradnl"/>
        </w:rPr>
        <w:t xml:space="preserve"> abordar los temas del objetivo 1, porque creemos que serán de especial interés para las comunidades.</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1B61B2"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AB20BB" w:rsidRDefault="00A05CDA" w:rsidP="00A05CDA">
            <w:pPr>
              <w:spacing w:before="120" w:after="120"/>
              <w:rPr>
                <w:rFonts w:ascii="Segoe UI" w:hAnsi="Segoe UI" w:cs="Segoe UI"/>
                <w:sz w:val="21"/>
                <w:szCs w:val="21"/>
                <w:lang w:val="es-ES_tradnl"/>
              </w:rPr>
            </w:pPr>
            <w:bookmarkStart w:id="0" w:name="_Hlk193986234"/>
            <w:r w:rsidRPr="00AB20BB">
              <w:rPr>
                <w:rFonts w:ascii="Segoe UI" w:hAnsi="Segoe UI"/>
                <w:i/>
                <w:sz w:val="21"/>
                <w:lang w:val="es-ES_tradnl"/>
              </w:rPr>
              <w:t xml:space="preserve">Objetivo 1: Reforzar la participación de las comunidades y los iwi maoríes </w:t>
            </w:r>
          </w:p>
        </w:tc>
      </w:tr>
    </w:tbl>
    <w:p w14:paraId="7345799E" w14:textId="584A1E16" w:rsidR="00936007" w:rsidRPr="00AB20BB" w:rsidRDefault="00936007" w:rsidP="00FD5275">
      <w:pPr>
        <w:spacing w:before="120"/>
        <w:rPr>
          <w:rFonts w:ascii="Segoe UI" w:hAnsi="Segoe UI" w:cs="Segoe UI"/>
          <w:sz w:val="21"/>
          <w:szCs w:val="21"/>
          <w:lang w:val="es-ES_tradnl"/>
        </w:rPr>
      </w:pPr>
      <w:bookmarkStart w:id="1" w:name="_Hlk193986246"/>
      <w:bookmarkEnd w:id="0"/>
      <w:r w:rsidRPr="00AB20BB">
        <w:rPr>
          <w:rFonts w:ascii="Segoe UI" w:hAnsi="Segoe UI"/>
          <w:sz w:val="21"/>
          <w:lang w:val="es-ES_tradnl"/>
        </w:rPr>
        <w:t>Todos desempeñamos un papel en la gestión de las emergencias, antes, durante y después de los desastres.</w:t>
      </w:r>
    </w:p>
    <w:p w14:paraId="45050329" w14:textId="5330B4EC" w:rsidR="00904A2E" w:rsidRPr="00AB20BB" w:rsidRDefault="00936007">
      <w:pPr>
        <w:rPr>
          <w:rFonts w:ascii="Segoe UI" w:hAnsi="Segoe UI" w:cs="Segoe UI"/>
          <w:sz w:val="21"/>
          <w:szCs w:val="21"/>
          <w:lang w:val="es-ES_tradnl"/>
        </w:rPr>
      </w:pPr>
      <w:r w:rsidRPr="00AB20BB">
        <w:rPr>
          <w:rFonts w:ascii="Segoe UI" w:hAnsi="Segoe UI"/>
          <w:sz w:val="21"/>
          <w:lang w:val="es-ES_tradnl"/>
        </w:rPr>
        <w:t xml:space="preserve">El Gobierno quiere que la gestión de las emergencias se lleve a cabo desde una perspectiva que englobe a toda la sociedad y en la que las comunidades puedan actuar junto con el sistema </w:t>
      </w:r>
      <w:r w:rsidR="00AC0B44" w:rsidRPr="00AB20BB">
        <w:rPr>
          <w:rFonts w:ascii="Segoe UI" w:hAnsi="Segoe UI"/>
          <w:sz w:val="21"/>
          <w:lang w:val="es-ES_tradnl"/>
        </w:rPr>
        <w:t>“</w:t>
      </w:r>
      <w:r w:rsidRPr="00AB20BB">
        <w:rPr>
          <w:rFonts w:ascii="Segoe UI" w:hAnsi="Segoe UI"/>
          <w:sz w:val="21"/>
          <w:lang w:val="es-ES_tradnl"/>
        </w:rPr>
        <w:t>oficial</w:t>
      </w:r>
      <w:r w:rsidR="00AC0B44" w:rsidRPr="00AB20BB">
        <w:rPr>
          <w:rFonts w:ascii="Segoe UI" w:hAnsi="Segoe UI"/>
          <w:sz w:val="21"/>
          <w:lang w:val="es-ES_tradnl"/>
        </w:rPr>
        <w:t>”</w:t>
      </w:r>
      <w:r w:rsidRPr="00AB20BB">
        <w:rPr>
          <w:rFonts w:ascii="Segoe UI" w:hAnsi="Segoe UI"/>
          <w:sz w:val="21"/>
          <w:lang w:val="es-ES_tradnl"/>
        </w:rPr>
        <w:t xml:space="preserve"> de emergencias. </w:t>
      </w:r>
    </w:p>
    <w:p w14:paraId="03940127" w14:textId="72AEF3E0" w:rsidR="008D1A19" w:rsidRPr="00AB20BB" w:rsidRDefault="00467D12">
      <w:pPr>
        <w:rPr>
          <w:rFonts w:ascii="Segoe UI" w:hAnsi="Segoe UI" w:cs="Segoe UI"/>
          <w:sz w:val="21"/>
          <w:szCs w:val="21"/>
          <w:lang w:val="es-ES_tradnl"/>
        </w:rPr>
      </w:pPr>
      <w:r w:rsidRPr="00AB20BB">
        <w:rPr>
          <w:rFonts w:ascii="Segoe UI" w:hAnsi="Segoe UI"/>
          <w:sz w:val="21"/>
          <w:lang w:val="es-ES_tradnl"/>
        </w:rPr>
        <w:t xml:space="preserve">Ello significa disponer de un sistema de gestión de emergencias que comprenda bien las diversas necesidades de las comunidades, en particular de las que pueden sufrir peores consecuencias. También </w:t>
      </w:r>
      <w:r w:rsidR="003D171F" w:rsidRPr="00AB20BB">
        <w:rPr>
          <w:rFonts w:ascii="Segoe UI" w:hAnsi="Segoe UI"/>
          <w:sz w:val="21"/>
          <w:lang w:val="es-ES_tradnl"/>
        </w:rPr>
        <w:t>implica que el</w:t>
      </w:r>
      <w:r w:rsidRPr="00AB20BB">
        <w:rPr>
          <w:rFonts w:ascii="Segoe UI" w:hAnsi="Segoe UI"/>
          <w:sz w:val="21"/>
          <w:lang w:val="es-ES_tradnl"/>
        </w:rPr>
        <w:t xml:space="preserve"> sistema </w:t>
      </w:r>
      <w:r w:rsidR="003D171F" w:rsidRPr="00AB20BB">
        <w:rPr>
          <w:rFonts w:ascii="Segoe UI" w:hAnsi="Segoe UI"/>
          <w:sz w:val="21"/>
          <w:lang w:val="es-ES_tradnl"/>
        </w:rPr>
        <w:t>sea capaz</w:t>
      </w:r>
      <w:r w:rsidRPr="00AB20BB">
        <w:rPr>
          <w:rFonts w:ascii="Segoe UI" w:hAnsi="Segoe UI"/>
          <w:sz w:val="21"/>
          <w:lang w:val="es-ES_tradnl"/>
        </w:rPr>
        <w:t xml:space="preserve"> aprovechar la experiencia y los recursos que ofrecen los </w:t>
      </w:r>
      <w:r w:rsidRPr="00AB20BB">
        <w:rPr>
          <w:rFonts w:ascii="Segoe UI" w:hAnsi="Segoe UI"/>
          <w:i/>
          <w:iCs/>
          <w:sz w:val="21"/>
          <w:lang w:val="es-ES_tradnl"/>
        </w:rPr>
        <w:t xml:space="preserve">iwi </w:t>
      </w:r>
      <w:r w:rsidRPr="00AB20BB">
        <w:rPr>
          <w:rFonts w:ascii="Segoe UI" w:hAnsi="Segoe UI"/>
          <w:sz w:val="21"/>
          <w:lang w:val="es-ES_tradnl"/>
        </w:rPr>
        <w:t xml:space="preserve">maoríes, los grupos comunitarios, las empresas, los voluntarios y otras organizaciones antes, durante y después de las emergencias. </w:t>
      </w:r>
    </w:p>
    <w:p w14:paraId="6594FC0E" w14:textId="00F29625" w:rsidR="00B566FD" w:rsidRPr="00AB20BB" w:rsidRDefault="00B566FD">
      <w:pPr>
        <w:rPr>
          <w:rFonts w:ascii="Segoe UI" w:hAnsi="Segoe UI" w:cs="Segoe UI"/>
          <w:sz w:val="21"/>
          <w:szCs w:val="21"/>
          <w:lang w:val="es-ES_tradnl"/>
        </w:rPr>
      </w:pPr>
      <w:r w:rsidRPr="00AB20BB">
        <w:rPr>
          <w:rFonts w:ascii="Segoe UI" w:hAnsi="Segoe UI"/>
          <w:sz w:val="21"/>
          <w:lang w:val="es-ES_tradnl"/>
        </w:rPr>
        <w:t xml:space="preserve">Los temas y las </w:t>
      </w:r>
      <w:r w:rsidR="000E1856" w:rsidRPr="00AB20BB">
        <w:rPr>
          <w:rFonts w:ascii="Segoe UI" w:hAnsi="Segoe UI"/>
          <w:sz w:val="21"/>
          <w:lang w:val="es-ES_tradnl"/>
        </w:rPr>
        <w:t>opciones</w:t>
      </w:r>
      <w:r w:rsidRPr="00AB20BB">
        <w:rPr>
          <w:rFonts w:ascii="Segoe UI" w:hAnsi="Segoe UI"/>
          <w:sz w:val="21"/>
          <w:lang w:val="es-ES_tradnl"/>
        </w:rPr>
        <w:t xml:space="preserve"> que examinamos en el marco de este objetivo son los siguientes: </w:t>
      </w:r>
    </w:p>
    <w:p w14:paraId="4A242871" w14:textId="42866865" w:rsidR="00B566FD" w:rsidRPr="00AB20BB" w:rsidRDefault="00A36C2D" w:rsidP="00B566FD">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Satisfacer las necesidades diversas de las personas y las comunidades</w:t>
      </w:r>
    </w:p>
    <w:p w14:paraId="4ABA511B" w14:textId="77777777" w:rsidR="006674D4" w:rsidRPr="00AB20BB" w:rsidRDefault="006674D4" w:rsidP="006674D4">
      <w:pPr>
        <w:pStyle w:val="ListParagraph"/>
        <w:rPr>
          <w:rFonts w:ascii="Segoe UI" w:hAnsi="Segoe UI" w:cs="Segoe UI"/>
          <w:sz w:val="21"/>
          <w:szCs w:val="21"/>
          <w:lang w:val="es-ES_tradnl"/>
        </w:rPr>
      </w:pPr>
    </w:p>
    <w:p w14:paraId="6B138FAB" w14:textId="79F58486" w:rsidR="00835D44" w:rsidRPr="00AB20BB" w:rsidRDefault="008918E9" w:rsidP="000B7678">
      <w:pPr>
        <w:pStyle w:val="ListParagraph"/>
        <w:ind w:left="0"/>
        <w:contextualSpacing w:val="0"/>
        <w:rPr>
          <w:rFonts w:ascii="Segoe UI" w:hAnsi="Segoe UI" w:cs="Segoe UI"/>
          <w:sz w:val="21"/>
          <w:szCs w:val="21"/>
          <w:lang w:val="es-ES_tradnl"/>
        </w:rPr>
      </w:pPr>
      <w:r w:rsidRPr="00AB20BB">
        <w:rPr>
          <w:rFonts w:ascii="Segoe UI" w:hAnsi="Segoe UI"/>
          <w:sz w:val="21"/>
          <w:lang w:val="es-ES_tradnl"/>
        </w:rPr>
        <w:t>Opciones</w:t>
      </w:r>
      <w:r w:rsidR="00835D44" w:rsidRPr="00AB20BB">
        <w:rPr>
          <w:rFonts w:ascii="Segoe UI" w:hAnsi="Segoe UI"/>
          <w:sz w:val="21"/>
          <w:lang w:val="es-ES_tradnl"/>
        </w:rPr>
        <w:t>:</w:t>
      </w:r>
    </w:p>
    <w:p w14:paraId="20E53B2F" w14:textId="38C21544" w:rsidR="00824C46" w:rsidRPr="00AB20BB" w:rsidRDefault="00835D44" w:rsidP="000B7678">
      <w:pPr>
        <w:pStyle w:val="ListParagraph"/>
        <w:numPr>
          <w:ilvl w:val="0"/>
          <w:numId w:val="15"/>
        </w:numPr>
        <w:ind w:left="723"/>
        <w:rPr>
          <w:rFonts w:ascii="Segoe UI" w:hAnsi="Segoe UI" w:cs="Segoe UI"/>
          <w:sz w:val="21"/>
          <w:szCs w:val="21"/>
          <w:lang w:val="es-ES_tradnl"/>
        </w:rPr>
      </w:pPr>
      <w:r w:rsidRPr="00AB20BB">
        <w:rPr>
          <w:rFonts w:ascii="Segoe UI" w:hAnsi="Segoe UI"/>
          <w:sz w:val="21"/>
          <w:lang w:val="es-ES_tradnl"/>
        </w:rPr>
        <w:t>proporcionar información más adaptada sobre gestión de emergencias a distintos grupos en función de sus necesidades o intereses específicos;</w:t>
      </w:r>
    </w:p>
    <w:p w14:paraId="48C53EDA" w14:textId="2CF5DFD2" w:rsidR="006674D4" w:rsidRPr="00AB20BB" w:rsidRDefault="006674D4" w:rsidP="000B7678">
      <w:pPr>
        <w:pStyle w:val="ListParagraph"/>
        <w:numPr>
          <w:ilvl w:val="0"/>
          <w:numId w:val="15"/>
        </w:numPr>
        <w:ind w:left="723"/>
        <w:rPr>
          <w:rFonts w:ascii="Segoe UI" w:hAnsi="Segoe UI" w:cs="Segoe UI"/>
          <w:sz w:val="21"/>
          <w:szCs w:val="21"/>
          <w:lang w:val="es-ES_tradnl"/>
        </w:rPr>
      </w:pPr>
      <w:r w:rsidRPr="00AB20BB">
        <w:rPr>
          <w:rFonts w:ascii="Segoe UI" w:hAnsi="Segoe UI"/>
          <w:sz w:val="21"/>
          <w:lang w:val="es-ES_tradnl"/>
        </w:rPr>
        <w:t>exigir que en los planes de emergencia de las administraciones locales se tengan en cuenta las necesidades de las personas que puedan verse afectadas de forma desproporcionada por las emergencias;</w:t>
      </w:r>
    </w:p>
    <w:p w14:paraId="17F417DD" w14:textId="7DCB1584" w:rsidR="00085F1B" w:rsidRDefault="00835D44" w:rsidP="000B7678">
      <w:pPr>
        <w:pStyle w:val="ListParagraph"/>
        <w:numPr>
          <w:ilvl w:val="0"/>
          <w:numId w:val="15"/>
        </w:numPr>
        <w:ind w:left="723"/>
        <w:rPr>
          <w:rFonts w:ascii="Segoe UI" w:hAnsi="Segoe UI"/>
          <w:sz w:val="21"/>
          <w:lang w:val="es-ES_tradnl"/>
        </w:rPr>
      </w:pPr>
      <w:r w:rsidRPr="00AB20BB">
        <w:rPr>
          <w:rFonts w:ascii="Segoe UI" w:hAnsi="Segoe UI"/>
          <w:sz w:val="21"/>
          <w:lang w:val="es-ES_tradnl"/>
        </w:rPr>
        <w:t xml:space="preserve">exigir </w:t>
      </w:r>
      <w:r w:rsidR="009A69DA" w:rsidRPr="00AB20BB">
        <w:rPr>
          <w:rFonts w:ascii="Segoe UI" w:hAnsi="Segoe UI"/>
          <w:sz w:val="21"/>
          <w:lang w:val="es-ES_tradnl"/>
        </w:rPr>
        <w:t>a la Dirección</w:t>
      </w:r>
      <w:r w:rsidRPr="00AB20BB">
        <w:rPr>
          <w:rFonts w:ascii="Segoe UI" w:hAnsi="Segoe UI"/>
          <w:sz w:val="21"/>
          <w:lang w:val="es-ES_tradnl"/>
        </w:rPr>
        <w:t xml:space="preserve"> de la NEMA que consulte a los representantes de las comunidades </w:t>
      </w:r>
      <w:r w:rsidR="009A69DA" w:rsidRPr="00AB20BB">
        <w:rPr>
          <w:rFonts w:ascii="Segoe UI" w:hAnsi="Segoe UI"/>
          <w:sz w:val="21"/>
          <w:lang w:val="es-ES_tradnl"/>
        </w:rPr>
        <w:t xml:space="preserve">que </w:t>
      </w:r>
      <w:r w:rsidR="000938CC" w:rsidRPr="00AB20BB">
        <w:rPr>
          <w:rFonts w:ascii="Segoe UI" w:hAnsi="Segoe UI"/>
          <w:sz w:val="21"/>
          <w:lang w:val="es-ES_tradnl"/>
        </w:rPr>
        <w:t>pueden verse</w:t>
      </w:r>
      <w:r w:rsidRPr="00AB20BB">
        <w:rPr>
          <w:rFonts w:ascii="Segoe UI" w:hAnsi="Segoe UI"/>
          <w:sz w:val="21"/>
          <w:lang w:val="es-ES_tradnl"/>
        </w:rPr>
        <w:t xml:space="preserve"> afectadas </w:t>
      </w:r>
      <w:r w:rsidR="009A69DA" w:rsidRPr="00AB20BB">
        <w:rPr>
          <w:rFonts w:ascii="Segoe UI" w:hAnsi="Segoe UI"/>
          <w:sz w:val="21"/>
          <w:lang w:val="es-ES_tradnl"/>
        </w:rPr>
        <w:t xml:space="preserve">de forma desproporcionada </w:t>
      </w:r>
      <w:r w:rsidRPr="00AB20BB">
        <w:rPr>
          <w:rFonts w:ascii="Segoe UI" w:hAnsi="Segoe UI"/>
          <w:sz w:val="21"/>
          <w:lang w:val="es-ES_tradnl"/>
        </w:rPr>
        <w:t>para que la información obtenida se tenga en cuenta en la planificación nacional.</w:t>
      </w:r>
    </w:p>
    <w:p w14:paraId="70FD4474" w14:textId="2499E7D4" w:rsidR="006674D4" w:rsidRPr="00085F1B" w:rsidRDefault="00085F1B" w:rsidP="00085F1B">
      <w:pPr>
        <w:rPr>
          <w:rFonts w:ascii="Segoe UI" w:hAnsi="Segoe UI"/>
          <w:sz w:val="21"/>
          <w:lang w:val="es-ES_tradnl"/>
        </w:rPr>
      </w:pPr>
      <w:r>
        <w:rPr>
          <w:rFonts w:ascii="Segoe UI" w:hAnsi="Segoe UI"/>
          <w:sz w:val="21"/>
          <w:lang w:val="es-ES_tradnl"/>
        </w:rPr>
        <w:br w:type="page"/>
      </w:r>
    </w:p>
    <w:p w14:paraId="6DDF0A92" w14:textId="6C075821" w:rsidR="00DE245B" w:rsidRPr="00AB20BB" w:rsidRDefault="00A36C2D" w:rsidP="00B566FD">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lastRenderedPageBreak/>
        <w:t xml:space="preserve">Reforzar y facilitar la participación de los </w:t>
      </w:r>
      <w:r w:rsidRPr="00AB20BB">
        <w:rPr>
          <w:rFonts w:ascii="Segoe UI" w:hAnsi="Segoe UI"/>
          <w:b/>
          <w:i/>
          <w:iCs/>
          <w:sz w:val="21"/>
          <w:lang w:val="es-ES_tradnl"/>
        </w:rPr>
        <w:t xml:space="preserve">iwi </w:t>
      </w:r>
      <w:r w:rsidRPr="00AB20BB">
        <w:rPr>
          <w:rFonts w:ascii="Segoe UI" w:hAnsi="Segoe UI"/>
          <w:b/>
          <w:sz w:val="21"/>
          <w:lang w:val="es-ES_tradnl"/>
        </w:rPr>
        <w:t>maoríes en la gestión de las emergencias</w:t>
      </w:r>
    </w:p>
    <w:p w14:paraId="1650179E" w14:textId="77777777" w:rsidR="00DE245B" w:rsidRPr="00AB20BB" w:rsidRDefault="00DE245B" w:rsidP="00DE245B">
      <w:pPr>
        <w:pStyle w:val="ListParagraph"/>
        <w:rPr>
          <w:rFonts w:ascii="Segoe UI" w:hAnsi="Segoe UI" w:cs="Segoe UI"/>
          <w:sz w:val="21"/>
          <w:szCs w:val="21"/>
          <w:lang w:val="es-ES_tradnl"/>
        </w:rPr>
      </w:pPr>
    </w:p>
    <w:p w14:paraId="605DD100" w14:textId="7F9D39E5" w:rsidR="00835D44" w:rsidRPr="00AB20BB" w:rsidRDefault="008918E9" w:rsidP="000B7678">
      <w:pPr>
        <w:pStyle w:val="ListParagraph"/>
        <w:ind w:left="0"/>
        <w:contextualSpacing w:val="0"/>
        <w:rPr>
          <w:rFonts w:ascii="Segoe UI" w:hAnsi="Segoe UI" w:cs="Segoe UI"/>
          <w:sz w:val="21"/>
          <w:szCs w:val="21"/>
          <w:lang w:val="es-ES_tradnl"/>
        </w:rPr>
      </w:pPr>
      <w:r w:rsidRPr="00AB20BB">
        <w:rPr>
          <w:rFonts w:ascii="Segoe UI" w:hAnsi="Segoe UI"/>
          <w:sz w:val="21"/>
          <w:lang w:val="es-ES_tradnl"/>
        </w:rPr>
        <w:t>Opciones</w:t>
      </w:r>
      <w:r w:rsidR="00835D44" w:rsidRPr="00AB20BB">
        <w:rPr>
          <w:rFonts w:ascii="Segoe UI" w:hAnsi="Segoe UI"/>
          <w:sz w:val="21"/>
          <w:lang w:val="es-ES_tradnl"/>
        </w:rPr>
        <w:t>:</w:t>
      </w:r>
    </w:p>
    <w:p w14:paraId="606ECC17" w14:textId="77777777" w:rsidR="00A36C2D" w:rsidRPr="00AB20BB" w:rsidRDefault="00A36C2D" w:rsidP="000B7678">
      <w:pPr>
        <w:pStyle w:val="ListParagraph"/>
        <w:numPr>
          <w:ilvl w:val="0"/>
          <w:numId w:val="16"/>
        </w:numPr>
        <w:ind w:left="723"/>
        <w:rPr>
          <w:rFonts w:ascii="Segoe UI" w:hAnsi="Segoe UI" w:cs="Segoe UI"/>
          <w:sz w:val="21"/>
          <w:szCs w:val="21"/>
          <w:lang w:val="es-ES_tradnl"/>
        </w:rPr>
      </w:pPr>
      <w:r w:rsidRPr="00AB20BB">
        <w:rPr>
          <w:rFonts w:ascii="Segoe UI" w:hAnsi="Segoe UI"/>
          <w:sz w:val="21"/>
          <w:lang w:val="es-ES_tradnl"/>
        </w:rPr>
        <w:t xml:space="preserve">abordar el papel de los </w:t>
      </w:r>
      <w:r w:rsidRPr="00AB20BB">
        <w:rPr>
          <w:rFonts w:ascii="Segoe UI" w:hAnsi="Segoe UI"/>
          <w:i/>
          <w:iCs/>
          <w:sz w:val="21"/>
          <w:lang w:val="es-ES_tradnl"/>
        </w:rPr>
        <w:t>iwi</w:t>
      </w:r>
      <w:r w:rsidRPr="00AB20BB">
        <w:rPr>
          <w:rFonts w:ascii="Segoe UI" w:hAnsi="Segoe UI"/>
          <w:sz w:val="21"/>
          <w:lang w:val="es-ES_tradnl"/>
        </w:rPr>
        <w:t xml:space="preserve"> maoríes en los planes, orientaciones y otros marcos de política;</w:t>
      </w:r>
    </w:p>
    <w:p w14:paraId="04D3D9E1" w14:textId="3842C51F" w:rsidR="00835D44" w:rsidRPr="00AB20BB" w:rsidRDefault="00835D44" w:rsidP="000B7678">
      <w:pPr>
        <w:pStyle w:val="ListParagraph"/>
        <w:numPr>
          <w:ilvl w:val="0"/>
          <w:numId w:val="16"/>
        </w:numPr>
        <w:ind w:left="723"/>
        <w:rPr>
          <w:rFonts w:ascii="Segoe UI" w:hAnsi="Segoe UI" w:cs="Segoe UI"/>
          <w:sz w:val="21"/>
          <w:szCs w:val="21"/>
          <w:lang w:val="es-ES_tradnl"/>
        </w:rPr>
      </w:pPr>
      <w:r w:rsidRPr="00AB20BB">
        <w:rPr>
          <w:rFonts w:ascii="Segoe UI" w:hAnsi="Segoe UI"/>
          <w:sz w:val="21"/>
          <w:lang w:val="es-ES_tradnl"/>
        </w:rPr>
        <w:t xml:space="preserve">exigir que los </w:t>
      </w:r>
      <w:r w:rsidRPr="00AB20BB">
        <w:rPr>
          <w:rFonts w:ascii="Segoe UI" w:hAnsi="Segoe UI"/>
          <w:i/>
          <w:iCs/>
          <w:sz w:val="21"/>
          <w:lang w:val="es-ES_tradnl"/>
        </w:rPr>
        <w:t>iwi</w:t>
      </w:r>
      <w:r w:rsidRPr="00AB20BB">
        <w:rPr>
          <w:rFonts w:ascii="Segoe UI" w:hAnsi="Segoe UI"/>
          <w:sz w:val="21"/>
          <w:lang w:val="es-ES_tradnl"/>
        </w:rPr>
        <w:t xml:space="preserve"> maoríes estén representados en los órganos de decisión de las administraciones locales en materia de gestión de emergencias;</w:t>
      </w:r>
      <w:r w:rsidR="00AB20BB" w:rsidRPr="00AB20BB">
        <w:rPr>
          <w:rFonts w:ascii="Segoe UI" w:hAnsi="Segoe UI"/>
          <w:sz w:val="21"/>
          <w:lang w:val="es-ES_tradnl"/>
        </w:rPr>
        <w:t xml:space="preserve"> </w:t>
      </w:r>
      <w:r w:rsidRPr="00AB20BB">
        <w:rPr>
          <w:rFonts w:ascii="Segoe UI" w:hAnsi="Segoe UI"/>
          <w:sz w:val="21"/>
          <w:lang w:val="es-ES_tradnl"/>
        </w:rPr>
        <w:t xml:space="preserve"> </w:t>
      </w:r>
    </w:p>
    <w:p w14:paraId="74E1ED86" w14:textId="6B82F335" w:rsidR="00835D44" w:rsidRPr="00AB20BB" w:rsidRDefault="0010037A" w:rsidP="000B7678">
      <w:pPr>
        <w:pStyle w:val="ListParagraph"/>
        <w:numPr>
          <w:ilvl w:val="0"/>
          <w:numId w:val="16"/>
        </w:numPr>
        <w:ind w:left="723"/>
        <w:rPr>
          <w:rFonts w:ascii="Segoe UI" w:hAnsi="Segoe UI" w:cs="Segoe UI"/>
          <w:sz w:val="21"/>
          <w:szCs w:val="21"/>
          <w:lang w:val="es-ES_tradnl"/>
        </w:rPr>
      </w:pPr>
      <w:r w:rsidRPr="00AB20BB">
        <w:rPr>
          <w:rFonts w:ascii="Segoe UI" w:hAnsi="Segoe UI"/>
          <w:sz w:val="21"/>
          <w:lang w:val="es-ES_tradnl"/>
        </w:rPr>
        <w:t xml:space="preserve">exigir a las administraciones locales que den participación a los </w:t>
      </w:r>
      <w:r w:rsidRPr="00AB20BB">
        <w:rPr>
          <w:rFonts w:ascii="Segoe UI" w:hAnsi="Segoe UI"/>
          <w:i/>
          <w:iCs/>
          <w:sz w:val="21"/>
          <w:lang w:val="es-ES_tradnl"/>
        </w:rPr>
        <w:t>iwi</w:t>
      </w:r>
      <w:r w:rsidRPr="00AB20BB">
        <w:rPr>
          <w:rFonts w:ascii="Segoe UI" w:hAnsi="Segoe UI"/>
          <w:sz w:val="21"/>
          <w:lang w:val="es-ES_tradnl"/>
        </w:rPr>
        <w:t xml:space="preserve"> maoríes durante la elaboración de los planes de gestión de emergencias;</w:t>
      </w:r>
    </w:p>
    <w:p w14:paraId="7C889E27" w14:textId="28F51D61" w:rsidR="00835D44" w:rsidRPr="00085F1B" w:rsidRDefault="00835D44" w:rsidP="000B7678">
      <w:pPr>
        <w:pStyle w:val="ListParagraph"/>
        <w:numPr>
          <w:ilvl w:val="0"/>
          <w:numId w:val="16"/>
        </w:numPr>
        <w:ind w:left="723"/>
        <w:rPr>
          <w:rFonts w:ascii="Segoe UI" w:hAnsi="Segoe UI" w:cs="Times New Roman (Body CS)"/>
          <w:spacing w:val="-4"/>
          <w:sz w:val="21"/>
          <w:szCs w:val="21"/>
          <w:lang w:val="es-ES_tradnl"/>
        </w:rPr>
      </w:pPr>
      <w:r w:rsidRPr="00085F1B">
        <w:rPr>
          <w:rFonts w:ascii="Segoe UI" w:hAnsi="Segoe UI" w:cs="Times New Roman (Body CS)"/>
          <w:spacing w:val="-4"/>
          <w:sz w:val="21"/>
          <w:lang w:val="es-ES_tradnl"/>
        </w:rPr>
        <w:t xml:space="preserve">exigir </w:t>
      </w:r>
      <w:r w:rsidR="00AA14DC" w:rsidRPr="00085F1B">
        <w:rPr>
          <w:rFonts w:ascii="Segoe UI" w:hAnsi="Segoe UI" w:cs="Times New Roman (Body CS)"/>
          <w:spacing w:val="-4"/>
          <w:sz w:val="21"/>
          <w:lang w:val="es-ES_tradnl"/>
        </w:rPr>
        <w:t>a la Dirección</w:t>
      </w:r>
      <w:r w:rsidRPr="00085F1B">
        <w:rPr>
          <w:rFonts w:ascii="Segoe UI" w:hAnsi="Segoe UI" w:cs="Times New Roman (Body CS)"/>
          <w:spacing w:val="-4"/>
          <w:sz w:val="21"/>
          <w:lang w:val="es-ES_tradnl"/>
        </w:rPr>
        <w:t xml:space="preserve"> de la NEMA que solicite asesoramiento sobre los intereses y conocimientos de los maoríes para </w:t>
      </w:r>
      <w:r w:rsidR="00AA14DC" w:rsidRPr="00085F1B">
        <w:rPr>
          <w:rFonts w:ascii="Segoe UI" w:hAnsi="Segoe UI" w:cs="Times New Roman (Body CS)"/>
          <w:spacing w:val="-4"/>
          <w:sz w:val="21"/>
          <w:lang w:val="es-ES_tradnl"/>
        </w:rPr>
        <w:t>que</w:t>
      </w:r>
      <w:r w:rsidRPr="00085F1B">
        <w:rPr>
          <w:rFonts w:ascii="Segoe UI" w:hAnsi="Segoe UI" w:cs="Times New Roman (Body CS)"/>
          <w:spacing w:val="-4"/>
          <w:sz w:val="21"/>
          <w:lang w:val="es-ES_tradnl"/>
        </w:rPr>
        <w:t xml:space="preserve"> esa información </w:t>
      </w:r>
      <w:r w:rsidR="00AA14DC" w:rsidRPr="00085F1B">
        <w:rPr>
          <w:rFonts w:ascii="Segoe UI" w:hAnsi="Segoe UI" w:cs="Times New Roman (Body CS)"/>
          <w:spacing w:val="-4"/>
          <w:sz w:val="21"/>
          <w:lang w:val="es-ES_tradnl"/>
        </w:rPr>
        <w:t xml:space="preserve">se utilice </w:t>
      </w:r>
      <w:r w:rsidRPr="00085F1B">
        <w:rPr>
          <w:rFonts w:ascii="Segoe UI" w:hAnsi="Segoe UI" w:cs="Times New Roman (Body CS)"/>
          <w:spacing w:val="-4"/>
          <w:sz w:val="21"/>
          <w:lang w:val="es-ES_tradnl"/>
        </w:rPr>
        <w:t>en la planificación nacional.</w:t>
      </w:r>
    </w:p>
    <w:p w14:paraId="46AF3404" w14:textId="77777777" w:rsidR="00835D44" w:rsidRPr="00AB20BB" w:rsidRDefault="00835D44" w:rsidP="00DE245B">
      <w:pPr>
        <w:pStyle w:val="ListParagraph"/>
        <w:rPr>
          <w:rFonts w:ascii="Segoe UI" w:hAnsi="Segoe UI" w:cs="Segoe UI"/>
          <w:i/>
          <w:iCs/>
          <w:sz w:val="21"/>
          <w:szCs w:val="21"/>
          <w:lang w:val="es-ES_tradnl"/>
        </w:rPr>
      </w:pPr>
    </w:p>
    <w:p w14:paraId="564E5642" w14:textId="7AA871EB" w:rsidR="00DE245B" w:rsidRPr="00AB20BB" w:rsidRDefault="00D85E32" w:rsidP="00B566FD">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Reforzar y facilitar la participación de la comunidad en la gestión de las emergencias</w:t>
      </w:r>
    </w:p>
    <w:p w14:paraId="2DD2B420" w14:textId="77777777" w:rsidR="009B68F2" w:rsidRPr="00AB20BB" w:rsidRDefault="009B68F2" w:rsidP="009B68F2">
      <w:pPr>
        <w:pStyle w:val="ListParagraph"/>
        <w:rPr>
          <w:rFonts w:ascii="Segoe UI" w:hAnsi="Segoe UI" w:cs="Segoe UI"/>
          <w:i/>
          <w:iCs/>
          <w:sz w:val="21"/>
          <w:szCs w:val="21"/>
          <w:lang w:val="es-ES_tradnl"/>
        </w:rPr>
      </w:pPr>
    </w:p>
    <w:p w14:paraId="49D1BE7A" w14:textId="03B32319" w:rsidR="009B68F2" w:rsidRPr="00AB20BB" w:rsidRDefault="008918E9" w:rsidP="000B7678">
      <w:pPr>
        <w:pStyle w:val="ListParagraph"/>
        <w:ind w:left="0"/>
        <w:contextualSpacing w:val="0"/>
        <w:rPr>
          <w:rFonts w:ascii="Segoe UI" w:hAnsi="Segoe UI" w:cs="Segoe UI"/>
          <w:sz w:val="21"/>
          <w:szCs w:val="21"/>
          <w:lang w:val="es-ES_tradnl"/>
        </w:rPr>
      </w:pPr>
      <w:r w:rsidRPr="00AB20BB">
        <w:rPr>
          <w:rFonts w:ascii="Segoe UI" w:hAnsi="Segoe UI"/>
          <w:sz w:val="21"/>
          <w:lang w:val="es-ES_tradnl"/>
        </w:rPr>
        <w:t>Opciones</w:t>
      </w:r>
      <w:r w:rsidR="009B68F2" w:rsidRPr="00AB20BB">
        <w:rPr>
          <w:rFonts w:ascii="Segoe UI" w:hAnsi="Segoe UI"/>
          <w:sz w:val="21"/>
          <w:lang w:val="es-ES_tradnl"/>
        </w:rPr>
        <w:t>:</w:t>
      </w:r>
    </w:p>
    <w:p w14:paraId="6C1F96EE" w14:textId="4D2ADA82" w:rsidR="009B68F2" w:rsidRPr="00AB20BB" w:rsidRDefault="009065B0" w:rsidP="000B7678">
      <w:pPr>
        <w:pStyle w:val="ListParagraph"/>
        <w:numPr>
          <w:ilvl w:val="0"/>
          <w:numId w:val="17"/>
        </w:numPr>
        <w:ind w:left="723"/>
        <w:rPr>
          <w:rFonts w:ascii="Segoe UI" w:hAnsi="Segoe UI" w:cs="Segoe UI"/>
          <w:sz w:val="21"/>
          <w:szCs w:val="21"/>
          <w:lang w:val="es-ES_tradnl"/>
        </w:rPr>
      </w:pPr>
      <w:r w:rsidRPr="00AB20BB">
        <w:rPr>
          <w:rFonts w:ascii="Segoe UI" w:hAnsi="Segoe UI"/>
          <w:sz w:val="21"/>
          <w:lang w:val="es-ES_tradnl"/>
        </w:rPr>
        <w:t>perfeccionar la</w:t>
      </w:r>
      <w:r w:rsidR="009B68F2" w:rsidRPr="00AB20BB">
        <w:rPr>
          <w:rFonts w:ascii="Segoe UI" w:hAnsi="Segoe UI"/>
          <w:sz w:val="21"/>
          <w:lang w:val="es-ES_tradnl"/>
        </w:rPr>
        <w:t xml:space="preserve"> información y orientación</w:t>
      </w:r>
      <w:r w:rsidRPr="00AB20BB">
        <w:rPr>
          <w:rFonts w:ascii="Segoe UI" w:hAnsi="Segoe UI"/>
          <w:sz w:val="21"/>
          <w:lang w:val="es-ES_tradnl"/>
        </w:rPr>
        <w:t xml:space="preserve"> que se brinda</w:t>
      </w:r>
      <w:r w:rsidR="009B68F2" w:rsidRPr="00AB20BB">
        <w:rPr>
          <w:rFonts w:ascii="Segoe UI" w:hAnsi="Segoe UI"/>
          <w:sz w:val="21"/>
          <w:lang w:val="es-ES_tradnl"/>
        </w:rPr>
        <w:t xml:space="preserve"> a los grupos comunitarios;</w:t>
      </w:r>
    </w:p>
    <w:p w14:paraId="19946FDF" w14:textId="1BCFE5B8" w:rsidR="00416497" w:rsidRPr="00AB20BB" w:rsidRDefault="00416497" w:rsidP="000B7678">
      <w:pPr>
        <w:pStyle w:val="ListParagraph"/>
        <w:numPr>
          <w:ilvl w:val="0"/>
          <w:numId w:val="17"/>
        </w:numPr>
        <w:ind w:left="723"/>
        <w:rPr>
          <w:rFonts w:ascii="Segoe UI" w:hAnsi="Segoe UI" w:cs="Segoe UI"/>
          <w:sz w:val="21"/>
          <w:szCs w:val="21"/>
          <w:lang w:val="es-ES_tradnl"/>
        </w:rPr>
      </w:pPr>
      <w:r w:rsidRPr="00AB20BB">
        <w:rPr>
          <w:rFonts w:ascii="Segoe UI" w:hAnsi="Segoe UI"/>
          <w:sz w:val="21"/>
          <w:lang w:val="es-ES_tradnl"/>
        </w:rPr>
        <w:t xml:space="preserve">exigir que en los planes de emergencia de las administraciones locales se indique cómo se </w:t>
      </w:r>
      <w:r w:rsidR="00D94A2A" w:rsidRPr="00AB20BB">
        <w:rPr>
          <w:rFonts w:ascii="Segoe UI" w:hAnsi="Segoe UI"/>
          <w:sz w:val="21"/>
          <w:lang w:val="es-ES_tradnl"/>
        </w:rPr>
        <w:t>gestionará la ayuda que ofrezca</w:t>
      </w:r>
      <w:r w:rsidRPr="00AB20BB">
        <w:rPr>
          <w:rFonts w:ascii="Segoe UI" w:hAnsi="Segoe UI"/>
          <w:sz w:val="21"/>
          <w:lang w:val="es-ES_tradnl"/>
        </w:rPr>
        <w:t xml:space="preserve"> la población.</w:t>
      </w:r>
    </w:p>
    <w:p w14:paraId="1013B906" w14:textId="77777777" w:rsidR="00DE245B" w:rsidRPr="00AB20BB" w:rsidRDefault="00DE245B" w:rsidP="00DE245B">
      <w:pPr>
        <w:pStyle w:val="ListParagraph"/>
        <w:rPr>
          <w:rFonts w:ascii="Segoe UI" w:hAnsi="Segoe UI" w:cs="Segoe UI"/>
          <w:sz w:val="21"/>
          <w:szCs w:val="21"/>
          <w:lang w:val="es-ES_tradnl"/>
        </w:rPr>
      </w:pPr>
    </w:p>
    <w:bookmarkEnd w:id="1"/>
    <w:p w14:paraId="21107320" w14:textId="62BFA8EE" w:rsidR="00DE245B" w:rsidRPr="00AB20BB" w:rsidRDefault="0010037A" w:rsidP="00DE245B">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Reconocer que las personas, las empresas y las comunidades suelen ser las primeras en responder en caso de emergencia</w:t>
      </w:r>
    </w:p>
    <w:p w14:paraId="78E991F8" w14:textId="77777777" w:rsidR="00F22A27" w:rsidRPr="00AB20BB" w:rsidRDefault="00F22A27" w:rsidP="00F22A27">
      <w:pPr>
        <w:pStyle w:val="ListParagraph"/>
        <w:rPr>
          <w:rFonts w:ascii="Segoe UI" w:hAnsi="Segoe UI" w:cs="Segoe UI"/>
          <w:i/>
          <w:iCs/>
          <w:sz w:val="21"/>
          <w:szCs w:val="21"/>
          <w:lang w:val="es-ES_tradnl"/>
        </w:rPr>
      </w:pPr>
    </w:p>
    <w:p w14:paraId="362ED7ED" w14:textId="0787C3D2" w:rsidR="00F22A27" w:rsidRPr="00AB20BB" w:rsidRDefault="008918E9" w:rsidP="000B7678">
      <w:pPr>
        <w:pStyle w:val="ListParagraph"/>
        <w:ind w:left="0"/>
        <w:contextualSpacing w:val="0"/>
        <w:rPr>
          <w:rFonts w:ascii="Segoe UI" w:hAnsi="Segoe UI" w:cs="Segoe UI"/>
          <w:sz w:val="21"/>
          <w:szCs w:val="21"/>
          <w:lang w:val="es-ES_tradnl"/>
        </w:rPr>
      </w:pPr>
      <w:r w:rsidRPr="00AB20BB">
        <w:rPr>
          <w:rFonts w:ascii="Segoe UI" w:hAnsi="Segoe UI"/>
          <w:sz w:val="21"/>
          <w:lang w:val="es-ES_tradnl"/>
        </w:rPr>
        <w:t>Opciones</w:t>
      </w:r>
      <w:r w:rsidR="00572AFA" w:rsidRPr="00AB20BB">
        <w:rPr>
          <w:rFonts w:ascii="Segoe UI" w:hAnsi="Segoe UI"/>
          <w:sz w:val="21"/>
          <w:lang w:val="es-ES_tradnl"/>
        </w:rPr>
        <w:t>:</w:t>
      </w:r>
    </w:p>
    <w:p w14:paraId="38805BA1" w14:textId="17F7CA03" w:rsidR="003C0BAE" w:rsidRPr="00085F1B" w:rsidRDefault="00F22A27" w:rsidP="00085F1B">
      <w:pPr>
        <w:pStyle w:val="ListParagraph"/>
        <w:numPr>
          <w:ilvl w:val="0"/>
          <w:numId w:val="18"/>
        </w:numPr>
        <w:ind w:left="723" w:right="-428"/>
        <w:rPr>
          <w:rFonts w:ascii="Segoe UI" w:hAnsi="Segoe UI" w:cs="Times New Roman (Body CS)"/>
          <w:spacing w:val="-4"/>
          <w:sz w:val="21"/>
          <w:szCs w:val="21"/>
          <w:lang w:val="es-ES_tradnl"/>
        </w:rPr>
      </w:pPr>
      <w:r w:rsidRPr="00085F1B">
        <w:rPr>
          <w:rFonts w:ascii="Segoe UI" w:hAnsi="Segoe UI" w:cs="Times New Roman (Body CS)"/>
          <w:spacing w:val="-4"/>
          <w:sz w:val="21"/>
          <w:lang w:val="es-ES_tradnl"/>
        </w:rPr>
        <w:t>ofrecer más protección jurídica a las personas que actúan de buena fe durante una emergencia;</w:t>
      </w:r>
    </w:p>
    <w:p w14:paraId="629A4514" w14:textId="7ED5572E" w:rsidR="00824C46" w:rsidRPr="00AB20BB" w:rsidRDefault="00414EF9" w:rsidP="000B7678">
      <w:pPr>
        <w:pStyle w:val="ListParagraph"/>
        <w:numPr>
          <w:ilvl w:val="0"/>
          <w:numId w:val="18"/>
        </w:numPr>
        <w:spacing w:after="240"/>
        <w:ind w:left="720" w:hanging="357"/>
        <w:rPr>
          <w:rFonts w:ascii="Segoe UI" w:hAnsi="Segoe UI" w:cs="Segoe UI"/>
          <w:sz w:val="21"/>
          <w:szCs w:val="21"/>
          <w:lang w:val="es-ES_tradnl"/>
        </w:rPr>
      </w:pPr>
      <w:r w:rsidRPr="00AB20BB">
        <w:rPr>
          <w:rFonts w:ascii="Segoe UI" w:hAnsi="Segoe UI"/>
          <w:sz w:val="21"/>
          <w:lang w:val="es-ES_tradnl"/>
        </w:rPr>
        <w:t xml:space="preserve">permitir que, en determinadas circunstancias, se compensen los costos de la mano de obra cuando las autoridades encargadas de la gestión de emergencias encomienden tareas a las personas.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1B61B2" w14:paraId="6BD69A26"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AB20BB" w:rsidRDefault="008D1A19" w:rsidP="00DD795C">
            <w:pPr>
              <w:spacing w:before="120" w:after="120"/>
              <w:rPr>
                <w:rFonts w:ascii="Segoe UI" w:hAnsi="Segoe UI" w:cs="Segoe UI"/>
                <w:sz w:val="21"/>
                <w:szCs w:val="21"/>
                <w:lang w:val="es-ES_tradnl"/>
              </w:rPr>
            </w:pPr>
            <w:r w:rsidRPr="00AB20BB">
              <w:rPr>
                <w:rFonts w:ascii="Segoe UI" w:hAnsi="Segoe UI"/>
                <w:i/>
                <w:sz w:val="21"/>
                <w:lang w:val="es-ES_tradnl"/>
              </w:rPr>
              <w:t>Objetivo 2: Establecer responsabilidades claras a nivel nacional, regional y local</w:t>
            </w:r>
          </w:p>
        </w:tc>
      </w:tr>
    </w:tbl>
    <w:p w14:paraId="42415D72" w14:textId="328286EE" w:rsidR="00097B62" w:rsidRPr="00AB20BB" w:rsidRDefault="00572AFA" w:rsidP="00FD5275">
      <w:pPr>
        <w:spacing w:before="120"/>
        <w:rPr>
          <w:rFonts w:ascii="Segoe UI" w:hAnsi="Segoe UI" w:cs="Segoe UI"/>
          <w:sz w:val="21"/>
          <w:szCs w:val="21"/>
          <w:lang w:val="es-ES_tradnl"/>
        </w:rPr>
      </w:pPr>
      <w:r w:rsidRPr="00AB20BB">
        <w:rPr>
          <w:rFonts w:ascii="Segoe UI" w:hAnsi="Segoe UI"/>
          <w:sz w:val="21"/>
          <w:lang w:val="es-ES_tradnl"/>
        </w:rPr>
        <w:t xml:space="preserve">Hay una amplia gama de organizaciones que tienen funciones y responsabilidades en </w:t>
      </w:r>
      <w:r w:rsidR="00435678" w:rsidRPr="00AB20BB">
        <w:rPr>
          <w:rFonts w:ascii="Segoe UI" w:hAnsi="Segoe UI"/>
          <w:sz w:val="21"/>
          <w:lang w:val="es-ES_tradnl"/>
        </w:rPr>
        <w:t>materia de</w:t>
      </w:r>
      <w:r w:rsidRPr="00AB20BB">
        <w:rPr>
          <w:rFonts w:ascii="Segoe UI" w:hAnsi="Segoe UI"/>
          <w:sz w:val="21"/>
          <w:lang w:val="es-ES_tradnl"/>
        </w:rPr>
        <w:t xml:space="preserve"> gestión de emergencias. Esas funciones y responsabilidades se establecen en la Ley de Gestión de Emergencias de Defensa Civil y en otros documentos legislativos. </w:t>
      </w:r>
    </w:p>
    <w:p w14:paraId="3424E423" w14:textId="1988F84B" w:rsidR="008D1A19" w:rsidRPr="00AB20BB" w:rsidRDefault="00572AFA" w:rsidP="008D1A19">
      <w:pPr>
        <w:rPr>
          <w:rFonts w:ascii="Segoe UI" w:hAnsi="Segoe UI" w:cs="Segoe UI"/>
          <w:sz w:val="21"/>
          <w:szCs w:val="21"/>
          <w:lang w:val="es-ES_tradnl"/>
        </w:rPr>
      </w:pPr>
      <w:r w:rsidRPr="00AB20BB">
        <w:rPr>
          <w:rFonts w:ascii="Segoe UI" w:hAnsi="Segoe UI"/>
          <w:sz w:val="21"/>
          <w:lang w:val="es-ES_tradnl"/>
        </w:rPr>
        <w:t>El Gobierno quiere que quede claro quién va a hacer qué</w:t>
      </w:r>
      <w:r w:rsidR="000326C1" w:rsidRPr="00AB20BB">
        <w:rPr>
          <w:rFonts w:ascii="Segoe UI" w:hAnsi="Segoe UI"/>
          <w:sz w:val="21"/>
          <w:lang w:val="es-ES_tradnl"/>
        </w:rPr>
        <w:t>,</w:t>
      </w:r>
      <w:r w:rsidRPr="00AB20BB">
        <w:rPr>
          <w:rFonts w:ascii="Segoe UI" w:hAnsi="Segoe UI"/>
          <w:sz w:val="21"/>
          <w:lang w:val="es-ES_tradnl"/>
        </w:rPr>
        <w:t xml:space="preserve"> cómo van a colaborar las organizaciones y </w:t>
      </w:r>
      <w:r w:rsidR="000326C1" w:rsidRPr="00AB20BB">
        <w:rPr>
          <w:rFonts w:ascii="Segoe UI" w:hAnsi="Segoe UI"/>
          <w:sz w:val="21"/>
          <w:lang w:val="es-ES_tradnl"/>
        </w:rPr>
        <w:t xml:space="preserve">cómo han de rendir </w:t>
      </w:r>
      <w:r w:rsidRPr="00AB20BB">
        <w:rPr>
          <w:rFonts w:ascii="Segoe UI" w:hAnsi="Segoe UI"/>
          <w:sz w:val="21"/>
          <w:lang w:val="es-ES_tradnl"/>
        </w:rPr>
        <w:t xml:space="preserve">cuentas quienes tienen responsabilidades legales en </w:t>
      </w:r>
      <w:r w:rsidR="000326C1" w:rsidRPr="00AB20BB">
        <w:rPr>
          <w:rFonts w:ascii="Segoe UI" w:hAnsi="Segoe UI"/>
          <w:sz w:val="21"/>
          <w:lang w:val="es-ES_tradnl"/>
        </w:rPr>
        <w:t>el marco</w:t>
      </w:r>
      <w:r w:rsidRPr="00AB20BB">
        <w:rPr>
          <w:rFonts w:ascii="Segoe UI" w:hAnsi="Segoe UI"/>
          <w:sz w:val="21"/>
          <w:lang w:val="es-ES_tradnl"/>
        </w:rPr>
        <w:t xml:space="preserve"> de la Ley</w:t>
      </w:r>
      <w:r w:rsidR="000326C1" w:rsidRPr="00AB20BB">
        <w:rPr>
          <w:rFonts w:ascii="Segoe UI" w:hAnsi="Segoe UI"/>
          <w:sz w:val="21"/>
          <w:lang w:val="es-ES_tradnl"/>
        </w:rPr>
        <w:t xml:space="preserve"> de Gestión de Emergencias de Defensa Civil</w:t>
      </w:r>
      <w:r w:rsidRPr="00AB20BB">
        <w:rPr>
          <w:rFonts w:ascii="Segoe UI" w:hAnsi="Segoe UI"/>
          <w:sz w:val="21"/>
          <w:lang w:val="es-ES_tradnl"/>
        </w:rPr>
        <w:t xml:space="preserve">. </w:t>
      </w:r>
    </w:p>
    <w:p w14:paraId="663A1BAA" w14:textId="1982A7F4" w:rsidR="008D1A19" w:rsidRPr="00AB20BB" w:rsidRDefault="008D1A19" w:rsidP="008D1A19">
      <w:pPr>
        <w:rPr>
          <w:rFonts w:ascii="Segoe UI" w:hAnsi="Segoe UI" w:cs="Segoe UI"/>
          <w:sz w:val="21"/>
          <w:szCs w:val="21"/>
          <w:lang w:val="es-ES_tradnl"/>
        </w:rPr>
      </w:pPr>
      <w:r w:rsidRPr="00AB20BB">
        <w:rPr>
          <w:rFonts w:ascii="Segoe UI" w:hAnsi="Segoe UI"/>
          <w:sz w:val="21"/>
          <w:lang w:val="es-ES_tradnl"/>
        </w:rPr>
        <w:t>Los temas que examinamos en el marco de este objetivo son los siguientes:</w:t>
      </w:r>
    </w:p>
    <w:p w14:paraId="5E4444D6" w14:textId="78788F03" w:rsidR="008D1A19" w:rsidRPr="00AB20BB" w:rsidRDefault="0010037A" w:rsidP="008D1A19">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Orientar y controlar con más claridad la respuesta operativa global ante una emergencia, incluso cuando no se haya declarado el estado de emergencia</w:t>
      </w:r>
    </w:p>
    <w:p w14:paraId="7C11BE26" w14:textId="77777777" w:rsidR="008D1A19" w:rsidRPr="00AB20BB" w:rsidRDefault="008D1A19" w:rsidP="008D1A19">
      <w:pPr>
        <w:pStyle w:val="ListParagraph"/>
        <w:rPr>
          <w:rFonts w:ascii="Segoe UI" w:hAnsi="Segoe UI" w:cs="Segoe UI"/>
          <w:b/>
          <w:bCs/>
          <w:sz w:val="21"/>
          <w:szCs w:val="21"/>
          <w:lang w:val="es-ES_tradnl"/>
        </w:rPr>
      </w:pPr>
    </w:p>
    <w:p w14:paraId="1789EC92" w14:textId="1FFAA80C" w:rsidR="00ED599E" w:rsidRPr="00AB20BB" w:rsidRDefault="0010037A" w:rsidP="00ED599E">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 xml:space="preserve">Reforzar el liderazgo regional y la coordinación de la gestión de emergencias aclarando funciones y responsabilidades, y fortaleciendo el </w:t>
      </w:r>
      <w:r w:rsidR="00022B47" w:rsidRPr="00AB20BB">
        <w:rPr>
          <w:rFonts w:ascii="Segoe UI" w:hAnsi="Segoe UI"/>
          <w:b/>
          <w:sz w:val="21"/>
          <w:lang w:val="es-ES_tradnl"/>
        </w:rPr>
        <w:t>desempeño</w:t>
      </w:r>
    </w:p>
    <w:p w14:paraId="1E83692D" w14:textId="77777777" w:rsidR="00ED599E" w:rsidRPr="00AB20BB" w:rsidRDefault="00ED599E" w:rsidP="00ED599E">
      <w:pPr>
        <w:pStyle w:val="ListParagraph"/>
        <w:ind w:left="360"/>
        <w:rPr>
          <w:rFonts w:ascii="Segoe UI" w:hAnsi="Segoe UI" w:cs="Segoe UI"/>
          <w:b/>
          <w:bCs/>
          <w:sz w:val="21"/>
          <w:szCs w:val="21"/>
          <w:lang w:val="es-ES_tradnl"/>
        </w:rPr>
      </w:pPr>
    </w:p>
    <w:p w14:paraId="0C40B203" w14:textId="38876655" w:rsidR="00DB4F21" w:rsidRPr="00AB20BB" w:rsidRDefault="00857D8B" w:rsidP="00980DF5">
      <w:pPr>
        <w:pStyle w:val="ListParagraph"/>
        <w:numPr>
          <w:ilvl w:val="0"/>
          <w:numId w:val="10"/>
        </w:numPr>
        <w:spacing w:after="240"/>
        <w:ind w:left="357" w:hanging="357"/>
        <w:rPr>
          <w:rFonts w:ascii="Segoe UI" w:hAnsi="Segoe UI" w:cs="Segoe UI"/>
          <w:b/>
          <w:bCs/>
          <w:sz w:val="21"/>
          <w:szCs w:val="21"/>
          <w:lang w:val="es-ES_tradnl"/>
        </w:rPr>
      </w:pPr>
      <w:r w:rsidRPr="00AB20BB">
        <w:rPr>
          <w:rFonts w:ascii="Segoe UI" w:hAnsi="Segoe UI"/>
          <w:b/>
          <w:sz w:val="21"/>
          <w:lang w:val="es-ES_tradnl"/>
        </w:rPr>
        <w:t>Velar por que los planes de gestión de emergencias se mantengan actualizados</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1B61B2"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AB20BB" w:rsidRDefault="00F34141" w:rsidP="00DD795C">
            <w:pPr>
              <w:spacing w:before="120" w:after="120"/>
              <w:rPr>
                <w:rFonts w:ascii="Segoe UI" w:hAnsi="Segoe UI" w:cs="Segoe UI"/>
                <w:sz w:val="21"/>
                <w:szCs w:val="21"/>
                <w:lang w:val="es-ES_tradnl"/>
              </w:rPr>
            </w:pPr>
            <w:r w:rsidRPr="00AB20BB">
              <w:rPr>
                <w:rFonts w:ascii="Segoe UI" w:hAnsi="Segoe UI"/>
                <w:i/>
                <w:sz w:val="21"/>
                <w:lang w:val="es-ES_tradnl"/>
              </w:rPr>
              <w:lastRenderedPageBreak/>
              <w:t>Objetivo 3: Elevar el nivel mínimo de exigencia que debe cumplir la gestión de emergencias</w:t>
            </w:r>
          </w:p>
        </w:tc>
      </w:tr>
    </w:tbl>
    <w:p w14:paraId="00A50072" w14:textId="7A9C98B4" w:rsidR="00F34141" w:rsidRPr="00AB20BB" w:rsidRDefault="00DB4F21" w:rsidP="00FD5275">
      <w:pPr>
        <w:spacing w:before="120"/>
        <w:rPr>
          <w:rFonts w:ascii="Segoe UI" w:hAnsi="Segoe UI" w:cs="Segoe UI"/>
          <w:sz w:val="21"/>
          <w:szCs w:val="21"/>
          <w:lang w:val="es-ES_tradnl"/>
        </w:rPr>
      </w:pPr>
      <w:r w:rsidRPr="00AB20BB">
        <w:rPr>
          <w:rFonts w:ascii="Segoe UI" w:hAnsi="Segoe UI"/>
          <w:sz w:val="21"/>
          <w:lang w:val="es-ES_tradnl"/>
        </w:rPr>
        <w:t xml:space="preserve">Las autoridades locales gestionan muchos riesgos, y sus decisiones en materia de gestión de emergencias se basan en los conocimientos locales y en su contexto </w:t>
      </w:r>
      <w:r w:rsidR="00093125" w:rsidRPr="00AB20BB">
        <w:rPr>
          <w:rFonts w:ascii="Segoe UI" w:hAnsi="Segoe UI"/>
          <w:sz w:val="21"/>
          <w:lang w:val="es-ES_tradnl"/>
        </w:rPr>
        <w:t>particular</w:t>
      </w:r>
      <w:r w:rsidRPr="00AB20BB">
        <w:rPr>
          <w:rFonts w:ascii="Segoe UI" w:hAnsi="Segoe UI"/>
          <w:sz w:val="21"/>
          <w:lang w:val="es-ES_tradnl"/>
        </w:rPr>
        <w:t>.</w:t>
      </w:r>
      <w:r w:rsidR="00AB20BB" w:rsidRPr="00AB20BB">
        <w:rPr>
          <w:rFonts w:ascii="Segoe UI" w:hAnsi="Segoe UI"/>
          <w:sz w:val="21"/>
          <w:lang w:val="es-ES_tradnl"/>
        </w:rPr>
        <w:t xml:space="preserve"> </w:t>
      </w:r>
    </w:p>
    <w:p w14:paraId="5E3F8C26" w14:textId="5B8CC515" w:rsidR="00F34141" w:rsidRPr="00AB20BB" w:rsidRDefault="00E25D73" w:rsidP="00F34141">
      <w:pPr>
        <w:rPr>
          <w:rFonts w:ascii="Segoe UI" w:hAnsi="Segoe UI" w:cs="Segoe UI"/>
          <w:sz w:val="21"/>
          <w:szCs w:val="21"/>
          <w:lang w:val="es-ES_tradnl"/>
        </w:rPr>
      </w:pPr>
      <w:r w:rsidRPr="00AB20BB">
        <w:rPr>
          <w:rFonts w:ascii="Segoe UI" w:hAnsi="Segoe UI"/>
          <w:sz w:val="21"/>
          <w:lang w:val="es-ES_tradnl"/>
        </w:rPr>
        <w:t xml:space="preserve">Si bien esta forma de proceder constituye una fortaleza, el Gobierno desea garantizar que los resultados sean aceptables para la población de toda Nueva Zelanda. </w:t>
      </w:r>
    </w:p>
    <w:p w14:paraId="17E3F63A" w14:textId="5E59036F" w:rsidR="00153527" w:rsidRPr="00AB20BB" w:rsidRDefault="00153527" w:rsidP="00153527">
      <w:pPr>
        <w:rPr>
          <w:rFonts w:ascii="Segoe UI" w:hAnsi="Segoe UI" w:cs="Segoe UI"/>
          <w:sz w:val="21"/>
          <w:szCs w:val="21"/>
          <w:lang w:val="es-ES_tradnl"/>
        </w:rPr>
      </w:pPr>
      <w:r w:rsidRPr="00AB20BB">
        <w:rPr>
          <w:rFonts w:ascii="Segoe UI" w:hAnsi="Segoe UI"/>
          <w:sz w:val="21"/>
          <w:lang w:val="es-ES_tradnl"/>
        </w:rPr>
        <w:t>Los temas que examinamos en el marco de este objetivo son los siguientes:</w:t>
      </w:r>
    </w:p>
    <w:p w14:paraId="247997F5" w14:textId="1BC5B010" w:rsidR="00153527" w:rsidRPr="00AB20BB" w:rsidRDefault="004D014D" w:rsidP="00153527">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 xml:space="preserve">Reforzar la capacidad de fijar expectativas </w:t>
      </w:r>
      <w:r w:rsidR="00093125" w:rsidRPr="00AB20BB">
        <w:rPr>
          <w:rFonts w:ascii="Segoe UI" w:hAnsi="Segoe UI"/>
          <w:b/>
          <w:sz w:val="21"/>
          <w:lang w:val="es-ES_tradnl"/>
        </w:rPr>
        <w:t>a nivel nacional</w:t>
      </w:r>
      <w:r w:rsidRPr="00AB20BB">
        <w:rPr>
          <w:rFonts w:ascii="Segoe UI" w:hAnsi="Segoe UI"/>
          <w:b/>
          <w:sz w:val="21"/>
          <w:lang w:val="es-ES_tradnl"/>
        </w:rPr>
        <w:t>, y controlar y abordar los problemas de desempeño si las personas u organizaciones no cumplen sus responsabilidades legales</w:t>
      </w:r>
    </w:p>
    <w:p w14:paraId="476329E3" w14:textId="77777777" w:rsidR="00153527" w:rsidRPr="00AB20BB" w:rsidRDefault="00153527" w:rsidP="00153527">
      <w:pPr>
        <w:pStyle w:val="ListParagraph"/>
        <w:rPr>
          <w:rFonts w:ascii="Segoe UI" w:hAnsi="Segoe UI" w:cs="Segoe UI"/>
          <w:b/>
          <w:bCs/>
          <w:sz w:val="21"/>
          <w:szCs w:val="21"/>
          <w:lang w:val="es-ES_tradnl"/>
        </w:rPr>
      </w:pPr>
    </w:p>
    <w:p w14:paraId="03C51876" w14:textId="2CCAFF05" w:rsidR="00C96893" w:rsidRPr="00AB20BB" w:rsidRDefault="004D014D" w:rsidP="00153527">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Fortalecer la gestión del riesgo de peligros a nivel de las administraciones locales</w:t>
      </w:r>
    </w:p>
    <w:p w14:paraId="0C664750" w14:textId="77777777" w:rsidR="001055ED" w:rsidRPr="00AB20BB" w:rsidRDefault="001055ED" w:rsidP="001055ED">
      <w:pPr>
        <w:pStyle w:val="ListParagraph"/>
        <w:rPr>
          <w:rFonts w:ascii="Segoe UI" w:hAnsi="Segoe UI" w:cs="Segoe UI"/>
          <w:b/>
          <w:bCs/>
          <w:sz w:val="21"/>
          <w:szCs w:val="21"/>
          <w:lang w:val="es-ES_tradnl"/>
        </w:rPr>
      </w:pPr>
    </w:p>
    <w:p w14:paraId="51D570AB" w14:textId="73D70079" w:rsidR="002111C1" w:rsidRPr="00AB20BB" w:rsidRDefault="004D014D" w:rsidP="002111C1">
      <w:pPr>
        <w:pStyle w:val="ListParagraph"/>
        <w:numPr>
          <w:ilvl w:val="0"/>
          <w:numId w:val="10"/>
        </w:numPr>
        <w:spacing w:after="240"/>
        <w:ind w:left="357" w:hanging="357"/>
        <w:rPr>
          <w:rFonts w:ascii="Segoe UI" w:hAnsi="Segoe UI" w:cs="Segoe UI"/>
          <w:b/>
          <w:bCs/>
          <w:sz w:val="21"/>
          <w:szCs w:val="21"/>
          <w:lang w:val="es-ES_tradnl"/>
        </w:rPr>
      </w:pPr>
      <w:r w:rsidRPr="00AB20BB">
        <w:rPr>
          <w:rFonts w:ascii="Segoe UI" w:hAnsi="Segoe UI"/>
          <w:b/>
          <w:sz w:val="21"/>
          <w:lang w:val="es-ES_tradnl"/>
        </w:rPr>
        <w:t xml:space="preserve">Lograr que se tengan más en cuenta el </w:t>
      </w:r>
      <w:r w:rsidRPr="00AB20BB">
        <w:rPr>
          <w:rFonts w:ascii="Segoe UI" w:hAnsi="Segoe UI"/>
          <w:b/>
          <w:i/>
          <w:iCs/>
          <w:sz w:val="21"/>
          <w:lang w:val="es-ES_tradnl"/>
        </w:rPr>
        <w:t>taonga</w:t>
      </w:r>
      <w:r w:rsidRPr="00AB20BB">
        <w:rPr>
          <w:rFonts w:ascii="Segoe UI" w:hAnsi="Segoe UI"/>
          <w:b/>
          <w:sz w:val="21"/>
          <w:lang w:val="es-ES_tradnl"/>
        </w:rPr>
        <w:t xml:space="preserve"> maorí, otros patrimonios culturales y los animales (incluidos los domésticos, los de trabajo, el ganado y la fauna salvaje) durante y después de las emergencias</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1B61B2"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AB20BB" w:rsidRDefault="00E27A12" w:rsidP="00DD795C">
            <w:pPr>
              <w:spacing w:before="120" w:after="120"/>
              <w:rPr>
                <w:rFonts w:ascii="Segoe UI" w:hAnsi="Segoe UI" w:cs="Segoe UI"/>
                <w:sz w:val="21"/>
                <w:szCs w:val="21"/>
                <w:lang w:val="es-ES_tradnl"/>
              </w:rPr>
            </w:pPr>
            <w:r w:rsidRPr="00AB20BB">
              <w:rPr>
                <w:rFonts w:ascii="Segoe UI" w:hAnsi="Segoe UI"/>
                <w:i/>
                <w:sz w:val="21"/>
                <w:lang w:val="es-ES_tradnl"/>
              </w:rPr>
              <w:t>Objetivo 4: Reducir al mínimo las perturbaciones de los servicios esenciales</w:t>
            </w:r>
          </w:p>
        </w:tc>
      </w:tr>
    </w:tbl>
    <w:p w14:paraId="798F9221" w14:textId="2A6C5493" w:rsidR="00DB4F21" w:rsidRPr="00AB20BB" w:rsidRDefault="00DB4F21" w:rsidP="00FB7CAE">
      <w:pPr>
        <w:spacing w:before="120"/>
        <w:rPr>
          <w:rFonts w:ascii="Segoe UI" w:hAnsi="Segoe UI" w:cs="Segoe UI"/>
          <w:sz w:val="21"/>
          <w:szCs w:val="21"/>
          <w:lang w:val="es-ES_tradnl"/>
        </w:rPr>
      </w:pPr>
      <w:r w:rsidRPr="00AB20BB">
        <w:rPr>
          <w:rFonts w:ascii="Segoe UI" w:hAnsi="Segoe UI"/>
          <w:sz w:val="21"/>
          <w:lang w:val="es-ES_tradnl"/>
        </w:rPr>
        <w:t xml:space="preserve">Nuestro bienestar depende de servicios esenciales que satisfacen nuestras necesidades básicas, </w:t>
      </w:r>
      <w:r w:rsidR="00EB3AF3" w:rsidRPr="00AB20BB">
        <w:rPr>
          <w:rFonts w:ascii="Segoe UI" w:hAnsi="Segoe UI"/>
          <w:sz w:val="21"/>
          <w:lang w:val="es-ES_tradnl"/>
        </w:rPr>
        <w:t>preservan nuestra seguridad</w:t>
      </w:r>
      <w:r w:rsidRPr="00AB20BB">
        <w:rPr>
          <w:rFonts w:ascii="Segoe UI" w:hAnsi="Segoe UI"/>
          <w:sz w:val="21"/>
          <w:lang w:val="es-ES_tradnl"/>
        </w:rPr>
        <w:t xml:space="preserve"> y nos permiten llevar una vida normal. A menudo no nos damos cuenta de lo mucho que dependemos de esos servicios, como la electricidad, las comunicaciones o el sistema judicial, hasta que algo falla.</w:t>
      </w:r>
    </w:p>
    <w:p w14:paraId="13F4B7E5" w14:textId="3994DD90" w:rsidR="00E27A12" w:rsidRPr="00AB20BB" w:rsidRDefault="00E27A12" w:rsidP="00FB7CAE">
      <w:pPr>
        <w:spacing w:before="120"/>
        <w:rPr>
          <w:rFonts w:ascii="Segoe UI" w:hAnsi="Segoe UI" w:cs="Segoe UI"/>
          <w:sz w:val="21"/>
          <w:szCs w:val="21"/>
          <w:lang w:val="es-ES_tradnl"/>
        </w:rPr>
      </w:pPr>
      <w:r w:rsidRPr="00AB20BB">
        <w:rPr>
          <w:rFonts w:ascii="Segoe UI" w:hAnsi="Segoe UI"/>
          <w:sz w:val="21"/>
          <w:lang w:val="es-ES_tradnl"/>
        </w:rPr>
        <w:t xml:space="preserve">El Gobierno pretende minimizar el impacto de las emergencias en esos servicios, para </w:t>
      </w:r>
      <w:r w:rsidR="004B6B40" w:rsidRPr="00AB20BB">
        <w:rPr>
          <w:rFonts w:ascii="Segoe UI" w:hAnsi="Segoe UI"/>
          <w:sz w:val="21"/>
          <w:lang w:val="es-ES_tradnl"/>
        </w:rPr>
        <w:t>contribuir a que</w:t>
      </w:r>
      <w:r w:rsidRPr="00AB20BB">
        <w:rPr>
          <w:rFonts w:ascii="Segoe UI" w:hAnsi="Segoe UI"/>
          <w:sz w:val="21"/>
          <w:lang w:val="es-ES_tradnl"/>
        </w:rPr>
        <w:t xml:space="preserve"> las comunidades </w:t>
      </w:r>
      <w:r w:rsidR="004B6B40" w:rsidRPr="00AB20BB">
        <w:rPr>
          <w:rFonts w:ascii="Segoe UI" w:hAnsi="Segoe UI"/>
          <w:sz w:val="21"/>
          <w:lang w:val="es-ES_tradnl"/>
        </w:rPr>
        <w:t>sigan</w:t>
      </w:r>
      <w:r w:rsidRPr="00AB20BB">
        <w:rPr>
          <w:rFonts w:ascii="Segoe UI" w:hAnsi="Segoe UI"/>
          <w:sz w:val="21"/>
          <w:lang w:val="es-ES_tradnl"/>
        </w:rPr>
        <w:t xml:space="preserve"> funcionando </w:t>
      </w:r>
      <w:r w:rsidR="004B6B40" w:rsidRPr="00AB20BB">
        <w:rPr>
          <w:rFonts w:ascii="Segoe UI" w:hAnsi="Segoe UI"/>
          <w:sz w:val="21"/>
          <w:lang w:val="es-ES_tradnl"/>
        </w:rPr>
        <w:t>normalmente</w:t>
      </w:r>
      <w:r w:rsidRPr="00AB20BB">
        <w:rPr>
          <w:rFonts w:ascii="Segoe UI" w:hAnsi="Segoe UI"/>
          <w:sz w:val="21"/>
          <w:lang w:val="es-ES_tradnl"/>
        </w:rPr>
        <w:t xml:space="preserve"> o </w:t>
      </w:r>
      <w:r w:rsidR="004B6B40" w:rsidRPr="00AB20BB">
        <w:rPr>
          <w:rFonts w:ascii="Segoe UI" w:hAnsi="Segoe UI"/>
          <w:sz w:val="21"/>
          <w:lang w:val="es-ES_tradnl"/>
        </w:rPr>
        <w:t>vuelvan</w:t>
      </w:r>
      <w:r w:rsidRPr="00AB20BB">
        <w:rPr>
          <w:rFonts w:ascii="Segoe UI" w:hAnsi="Segoe UI"/>
          <w:sz w:val="21"/>
          <w:lang w:val="es-ES_tradnl"/>
        </w:rPr>
        <w:t xml:space="preserve"> a la normalidad lo antes posible.</w:t>
      </w:r>
    </w:p>
    <w:p w14:paraId="5C31E108" w14:textId="77777777" w:rsidR="00E27A12" w:rsidRPr="00AB20BB" w:rsidRDefault="00E27A12" w:rsidP="00E27A12">
      <w:pPr>
        <w:rPr>
          <w:rFonts w:ascii="Segoe UI" w:hAnsi="Segoe UI" w:cs="Segoe UI"/>
          <w:sz w:val="21"/>
          <w:szCs w:val="21"/>
          <w:lang w:val="es-ES_tradnl"/>
        </w:rPr>
      </w:pPr>
      <w:r w:rsidRPr="00AB20BB">
        <w:rPr>
          <w:rFonts w:ascii="Segoe UI" w:hAnsi="Segoe UI"/>
          <w:sz w:val="21"/>
          <w:lang w:val="es-ES_tradnl"/>
        </w:rPr>
        <w:t>Los temas que examinamos en el marco de este objetivo son los siguientes:</w:t>
      </w:r>
    </w:p>
    <w:p w14:paraId="4F53D8A4" w14:textId="0D517D08" w:rsidR="00F96E01" w:rsidRPr="00AB20BB" w:rsidRDefault="004D014D" w:rsidP="00DB591E">
      <w:pPr>
        <w:pStyle w:val="ListParagraph"/>
        <w:numPr>
          <w:ilvl w:val="0"/>
          <w:numId w:val="10"/>
        </w:numPr>
        <w:ind w:left="357" w:hanging="357"/>
        <w:contextualSpacing w:val="0"/>
        <w:rPr>
          <w:rFonts w:ascii="Segoe UI" w:hAnsi="Segoe UI" w:cs="Segoe UI"/>
          <w:b/>
          <w:bCs/>
          <w:sz w:val="21"/>
          <w:szCs w:val="21"/>
          <w:lang w:val="es-ES_tradnl"/>
        </w:rPr>
      </w:pPr>
      <w:r w:rsidRPr="00AB20BB">
        <w:rPr>
          <w:rFonts w:ascii="Segoe UI" w:hAnsi="Segoe UI"/>
          <w:b/>
          <w:sz w:val="21"/>
          <w:lang w:val="es-ES_tradnl"/>
        </w:rPr>
        <w:t>Reducir la perturbación de las infraestructuras que prestan servicios esenciales, entre otras cosas reconociendo una gama más amplia de infraestructuras, reforzando la planificación y reduciendo los obstáculos que dificultan la cooperación y el intercambio de información</w:t>
      </w:r>
    </w:p>
    <w:p w14:paraId="481AFF6C" w14:textId="7DEB7B66" w:rsidR="00536B38" w:rsidRPr="00AB20BB" w:rsidRDefault="004D014D" w:rsidP="00536B38">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 xml:space="preserve">Velar por que todas las organizaciones gubernamentales que prestan servicios esenciales estudien cómo minimizar la </w:t>
      </w:r>
      <w:r w:rsidR="00E53E9D" w:rsidRPr="00AB20BB">
        <w:rPr>
          <w:rFonts w:ascii="Segoe UI" w:hAnsi="Segoe UI"/>
          <w:b/>
          <w:sz w:val="21"/>
          <w:lang w:val="es-ES_tradnl"/>
        </w:rPr>
        <w:t>perturbación</w:t>
      </w:r>
      <w:r w:rsidRPr="00AB20BB">
        <w:rPr>
          <w:rFonts w:ascii="Segoe UI" w:hAnsi="Segoe UI"/>
          <w:b/>
          <w:sz w:val="21"/>
          <w:lang w:val="es-ES_tradnl"/>
        </w:rPr>
        <w:t xml:space="preserve"> de esos servicios en caso de emergencia</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1B61B2"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AB20BB" w:rsidRDefault="0020656A" w:rsidP="00DD795C">
            <w:pPr>
              <w:spacing w:before="120" w:after="120"/>
              <w:rPr>
                <w:rFonts w:ascii="Segoe UI" w:hAnsi="Segoe UI" w:cs="Segoe UI"/>
                <w:sz w:val="21"/>
                <w:szCs w:val="21"/>
                <w:lang w:val="es-ES_tradnl"/>
              </w:rPr>
            </w:pPr>
            <w:r w:rsidRPr="00AB20BB">
              <w:rPr>
                <w:rFonts w:ascii="Segoe UI" w:hAnsi="Segoe UI"/>
                <w:i/>
                <w:sz w:val="21"/>
                <w:lang w:val="es-ES_tradnl"/>
              </w:rPr>
              <w:t>Objetivo 5: Disponer de las facultades necesarias en caso de emergencia</w:t>
            </w:r>
          </w:p>
        </w:tc>
      </w:tr>
    </w:tbl>
    <w:p w14:paraId="4EECE82C" w14:textId="080A4BF8" w:rsidR="003D27E7" w:rsidRPr="00AB20BB" w:rsidRDefault="00FD5275" w:rsidP="003D27E7">
      <w:pPr>
        <w:spacing w:before="120"/>
        <w:rPr>
          <w:rFonts w:ascii="Segoe UI" w:hAnsi="Segoe UI" w:cs="Segoe UI"/>
          <w:sz w:val="21"/>
          <w:szCs w:val="21"/>
          <w:lang w:val="es-ES_tradnl"/>
        </w:rPr>
      </w:pPr>
      <w:r w:rsidRPr="00AB20BB">
        <w:rPr>
          <w:rFonts w:ascii="Segoe UI" w:hAnsi="Segoe UI"/>
          <w:sz w:val="21"/>
          <w:lang w:val="es-ES_tradnl"/>
        </w:rPr>
        <w:t xml:space="preserve">Cuando se declara el estado de emergencia, o en las fases iniciales de recuperación, la Ley de Gestión de Emergencias de Defensa Civil concede facultades extraordinarias </w:t>
      </w:r>
      <w:r w:rsidR="00E618DB" w:rsidRPr="00AB20BB">
        <w:rPr>
          <w:rFonts w:ascii="Segoe UI" w:hAnsi="Segoe UI"/>
          <w:sz w:val="21"/>
          <w:lang w:val="es-ES_tradnl"/>
        </w:rPr>
        <w:t>a fin de limitar la gravedad de la emergencia o contribuir a que se haga</w:t>
      </w:r>
      <w:r w:rsidRPr="00AB20BB">
        <w:rPr>
          <w:rFonts w:ascii="Segoe UI" w:hAnsi="Segoe UI"/>
          <w:sz w:val="21"/>
          <w:lang w:val="es-ES_tradnl"/>
        </w:rPr>
        <w:t xml:space="preserve"> frente a los riesgos para la vida o los bienes.</w:t>
      </w:r>
    </w:p>
    <w:p w14:paraId="603F9B05" w14:textId="4FF4A6E1" w:rsidR="0020656A" w:rsidRPr="00AB20BB" w:rsidRDefault="003D27E7" w:rsidP="003D27E7">
      <w:pPr>
        <w:spacing w:before="120"/>
        <w:rPr>
          <w:rFonts w:ascii="Segoe UI" w:hAnsi="Segoe UI" w:cs="Segoe UI"/>
          <w:sz w:val="21"/>
          <w:szCs w:val="21"/>
          <w:lang w:val="es-ES_tradnl"/>
        </w:rPr>
      </w:pPr>
      <w:r w:rsidRPr="00AB20BB">
        <w:rPr>
          <w:rFonts w:ascii="Segoe UI" w:hAnsi="Segoe UI"/>
          <w:sz w:val="21"/>
          <w:lang w:val="es-ES_tradnl"/>
        </w:rPr>
        <w:lastRenderedPageBreak/>
        <w:t>El Gobierno se propone velar por la idoneidad del procedimiento que permite acceder a esas facultades de emergencia, así como de las personas que puedan hacer uso de ellas.</w:t>
      </w:r>
    </w:p>
    <w:p w14:paraId="167A9D7C" w14:textId="77777777" w:rsidR="003D27E7" w:rsidRPr="00AB20BB" w:rsidRDefault="003D27E7" w:rsidP="003D27E7">
      <w:pPr>
        <w:rPr>
          <w:rFonts w:ascii="Segoe UI" w:hAnsi="Segoe UI" w:cs="Segoe UI"/>
          <w:sz w:val="21"/>
          <w:szCs w:val="21"/>
          <w:lang w:val="es-ES_tradnl"/>
        </w:rPr>
      </w:pPr>
      <w:r w:rsidRPr="00AB20BB">
        <w:rPr>
          <w:rFonts w:ascii="Segoe UI" w:hAnsi="Segoe UI"/>
          <w:sz w:val="21"/>
          <w:lang w:val="es-ES_tradnl"/>
        </w:rPr>
        <w:t>Los temas que examinamos en el marco de este objetivo son los siguientes:</w:t>
      </w:r>
    </w:p>
    <w:p w14:paraId="09648E1A" w14:textId="0653A4C7" w:rsidR="006D3F3E" w:rsidRPr="00AB20BB" w:rsidRDefault="00536B38" w:rsidP="00B62E8B">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Gestionar con seguridad el acceso a carreteras cerradas y a otras zonas restringidas</w:t>
      </w:r>
    </w:p>
    <w:p w14:paraId="4838374A" w14:textId="77777777" w:rsidR="00536B38" w:rsidRPr="00AB20BB" w:rsidRDefault="00536B38" w:rsidP="00536B38">
      <w:pPr>
        <w:pStyle w:val="ListParagraph"/>
        <w:ind w:left="360"/>
        <w:rPr>
          <w:rFonts w:ascii="Segoe UI" w:hAnsi="Segoe UI" w:cs="Segoe UI"/>
          <w:b/>
          <w:bCs/>
          <w:sz w:val="21"/>
          <w:szCs w:val="21"/>
          <w:lang w:val="es-ES_tradnl"/>
        </w:rPr>
      </w:pPr>
    </w:p>
    <w:p w14:paraId="5E096A51" w14:textId="51E50AC8" w:rsidR="006D3F3E" w:rsidRPr="00AB20BB" w:rsidRDefault="00536B38" w:rsidP="00FC1340">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Garantizar que las personas indicadas puedan acceder a las facultades de emergencia a nivel local</w:t>
      </w:r>
    </w:p>
    <w:p w14:paraId="78404348" w14:textId="77777777" w:rsidR="006D3F3E" w:rsidRPr="00AB20BB" w:rsidRDefault="006D3F3E" w:rsidP="00FC1340">
      <w:pPr>
        <w:pStyle w:val="ListParagraph"/>
        <w:ind w:left="360"/>
        <w:rPr>
          <w:rFonts w:ascii="Segoe UI" w:hAnsi="Segoe UI" w:cs="Segoe UI"/>
          <w:b/>
          <w:bCs/>
          <w:sz w:val="21"/>
          <w:szCs w:val="21"/>
          <w:lang w:val="es-ES_tradnl"/>
        </w:rPr>
      </w:pPr>
    </w:p>
    <w:p w14:paraId="52008021" w14:textId="32B47F6B" w:rsidR="006D3F3E" w:rsidRPr="00AB20BB" w:rsidRDefault="00536B38" w:rsidP="00FC1340">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Velar por que las declaraciones de estado de emergencia puedan realizarse de forma eficiente y eficaz, por ejemplo, firmándolas por vía electrónica</w:t>
      </w:r>
    </w:p>
    <w:p w14:paraId="2C558B15" w14:textId="77777777" w:rsidR="00B9059F" w:rsidRPr="00AB20BB" w:rsidRDefault="00B9059F" w:rsidP="00FC1340">
      <w:pPr>
        <w:pStyle w:val="ListParagraph"/>
        <w:ind w:left="360"/>
        <w:rPr>
          <w:rFonts w:ascii="Segoe UI" w:hAnsi="Segoe UI" w:cs="Segoe UI"/>
          <w:b/>
          <w:bCs/>
          <w:sz w:val="21"/>
          <w:szCs w:val="21"/>
          <w:lang w:val="es-ES_tradnl"/>
        </w:rPr>
      </w:pPr>
    </w:p>
    <w:p w14:paraId="0B20397A" w14:textId="4E2D1756" w:rsidR="000D4870" w:rsidRPr="00AB20BB" w:rsidRDefault="00536B38" w:rsidP="009E729D">
      <w:pPr>
        <w:pStyle w:val="ListParagraph"/>
        <w:numPr>
          <w:ilvl w:val="0"/>
          <w:numId w:val="10"/>
        </w:numPr>
        <w:rPr>
          <w:rFonts w:ascii="Segoe UI" w:hAnsi="Segoe UI" w:cs="Segoe UI"/>
          <w:b/>
          <w:bCs/>
          <w:sz w:val="21"/>
          <w:szCs w:val="21"/>
          <w:lang w:val="es-ES_tradnl"/>
        </w:rPr>
      </w:pPr>
      <w:r w:rsidRPr="00AB20BB">
        <w:rPr>
          <w:rFonts w:ascii="Segoe UI" w:hAnsi="Segoe UI"/>
          <w:b/>
          <w:sz w:val="21"/>
          <w:lang w:val="es-ES_tradnl"/>
        </w:rPr>
        <w:t xml:space="preserve">Dejar claro quién es el responsable de declarar el estado de emergencia </w:t>
      </w:r>
      <w:r w:rsidR="00801B59" w:rsidRPr="00AB20BB">
        <w:rPr>
          <w:rFonts w:ascii="Segoe UI" w:hAnsi="Segoe UI"/>
          <w:b/>
          <w:sz w:val="21"/>
          <w:lang w:val="es-ES_tradnl"/>
        </w:rPr>
        <w:t xml:space="preserve">en el ámbito </w:t>
      </w:r>
      <w:r w:rsidRPr="00AB20BB">
        <w:rPr>
          <w:rFonts w:ascii="Segoe UI" w:hAnsi="Segoe UI"/>
          <w:b/>
          <w:sz w:val="21"/>
          <w:lang w:val="es-ES_tradnl"/>
        </w:rPr>
        <w:t>local</w:t>
      </w:r>
    </w:p>
    <w:p w14:paraId="58DE757B" w14:textId="16EBED2B" w:rsidR="00DB591E" w:rsidRPr="00AB20BB" w:rsidRDefault="004D3C29" w:rsidP="00CB7738">
      <w:pPr>
        <w:spacing w:before="240"/>
        <w:rPr>
          <w:rFonts w:ascii="Segoe UI" w:hAnsi="Segoe UI" w:cs="Segoe UI"/>
          <w:b/>
          <w:bCs/>
          <w:i/>
          <w:iCs/>
          <w:color w:val="215E99" w:themeColor="text2" w:themeTint="BF"/>
          <w:sz w:val="21"/>
          <w:szCs w:val="21"/>
          <w:lang w:val="es-ES_tradnl"/>
        </w:rPr>
      </w:pPr>
      <w:r w:rsidRPr="00AB20BB">
        <w:rPr>
          <w:rFonts w:ascii="Segoe UI" w:hAnsi="Segoe UI"/>
          <w:b/>
          <w:i/>
          <w:color w:val="215E99" w:themeColor="text2" w:themeTint="BF"/>
          <w:sz w:val="24"/>
          <w:lang w:val="es-ES_tradnl"/>
        </w:rPr>
        <w:t>Opiniones</w:t>
      </w:r>
    </w:p>
    <w:p w14:paraId="779193DA" w14:textId="1BBC738C" w:rsidR="00DB591E" w:rsidRPr="00AB20BB" w:rsidRDefault="00DB591E" w:rsidP="00DB591E">
      <w:pPr>
        <w:rPr>
          <w:rFonts w:ascii="Segoe UI" w:hAnsi="Segoe UI" w:cs="Segoe UI"/>
          <w:sz w:val="21"/>
          <w:szCs w:val="21"/>
          <w:lang w:val="es-ES_tradnl"/>
        </w:rPr>
      </w:pPr>
      <w:r w:rsidRPr="00AB20BB">
        <w:rPr>
          <w:rFonts w:ascii="Segoe UI" w:hAnsi="Segoe UI"/>
          <w:sz w:val="21"/>
          <w:lang w:val="es-ES_tradnl"/>
        </w:rPr>
        <w:t xml:space="preserve">Los temas y las opciones </w:t>
      </w:r>
      <w:r w:rsidR="00801B59" w:rsidRPr="00AB20BB">
        <w:rPr>
          <w:rFonts w:ascii="Segoe UI" w:hAnsi="Segoe UI"/>
          <w:sz w:val="21"/>
          <w:lang w:val="es-ES_tradnl"/>
        </w:rPr>
        <w:t>que se recogen</w:t>
      </w:r>
      <w:r w:rsidRPr="00AB20BB">
        <w:rPr>
          <w:rFonts w:ascii="Segoe UI" w:hAnsi="Segoe UI"/>
          <w:sz w:val="21"/>
          <w:lang w:val="es-ES_tradnl"/>
        </w:rPr>
        <w:t xml:space="preserve"> en el documento de consulta son meramente preliminares. Nos gustaría conocer la opinión de la población sobre los siguientes </w:t>
      </w:r>
      <w:r w:rsidR="00842317" w:rsidRPr="00AB20BB">
        <w:rPr>
          <w:rFonts w:ascii="Segoe UI" w:hAnsi="Segoe UI"/>
          <w:sz w:val="21"/>
          <w:lang w:val="es-ES_tradnl"/>
        </w:rPr>
        <w:t>aspectos</w:t>
      </w:r>
      <w:r w:rsidRPr="00AB20BB">
        <w:rPr>
          <w:rFonts w:ascii="Segoe UI" w:hAnsi="Segoe UI"/>
          <w:sz w:val="21"/>
          <w:lang w:val="es-ES_tradnl"/>
        </w:rPr>
        <w:t xml:space="preserve">, para utilizarla en el asesoramiento que brindaremos sobre el contenido de la nueva ley: </w:t>
      </w:r>
    </w:p>
    <w:p w14:paraId="26E20536" w14:textId="1248AC90" w:rsidR="00DB591E" w:rsidRPr="00AB20BB" w:rsidRDefault="00DB591E" w:rsidP="00DB591E">
      <w:pPr>
        <w:pStyle w:val="ListParagraph"/>
        <w:numPr>
          <w:ilvl w:val="0"/>
          <w:numId w:val="2"/>
        </w:numPr>
        <w:ind w:left="714" w:hanging="357"/>
        <w:contextualSpacing w:val="0"/>
        <w:rPr>
          <w:rFonts w:ascii="Segoe UI" w:hAnsi="Segoe UI" w:cs="Segoe UI"/>
          <w:sz w:val="21"/>
          <w:szCs w:val="21"/>
          <w:lang w:val="es-ES_tradnl"/>
        </w:rPr>
      </w:pPr>
      <w:r w:rsidRPr="00AB20BB">
        <w:rPr>
          <w:rFonts w:ascii="Segoe UI" w:hAnsi="Segoe UI"/>
          <w:sz w:val="21"/>
          <w:lang w:val="es-ES_tradnl"/>
        </w:rPr>
        <w:t>la forma en que se ha descrito el tema;</w:t>
      </w:r>
    </w:p>
    <w:p w14:paraId="47EEBB90" w14:textId="742FE1CA" w:rsidR="00DB591E" w:rsidRPr="00AB20BB" w:rsidRDefault="00DB591E" w:rsidP="00DB591E">
      <w:pPr>
        <w:pStyle w:val="ListParagraph"/>
        <w:numPr>
          <w:ilvl w:val="0"/>
          <w:numId w:val="2"/>
        </w:numPr>
        <w:ind w:left="714" w:hanging="357"/>
        <w:contextualSpacing w:val="0"/>
        <w:rPr>
          <w:rFonts w:ascii="Segoe UI" w:hAnsi="Segoe UI" w:cs="Segoe UI"/>
          <w:sz w:val="21"/>
          <w:szCs w:val="21"/>
          <w:lang w:val="es-ES_tradnl"/>
        </w:rPr>
      </w:pPr>
      <w:r w:rsidRPr="00AB20BB">
        <w:rPr>
          <w:rFonts w:ascii="Segoe UI" w:hAnsi="Segoe UI"/>
          <w:sz w:val="21"/>
          <w:lang w:val="es-ES_tradnl"/>
        </w:rPr>
        <w:t>los posibles beneficios o riesgos que conllevan las distintas opciones (por ejemplo, nos gustaría saber qué opciones prefiere la población y por qué);</w:t>
      </w:r>
    </w:p>
    <w:p w14:paraId="50B7386F" w14:textId="08D430E6" w:rsidR="009E729D" w:rsidRPr="00AB20BB" w:rsidRDefault="00DB591E" w:rsidP="009E729D">
      <w:pPr>
        <w:pStyle w:val="ListParagraph"/>
        <w:numPr>
          <w:ilvl w:val="0"/>
          <w:numId w:val="2"/>
        </w:numPr>
        <w:ind w:left="714" w:hanging="357"/>
        <w:contextualSpacing w:val="0"/>
        <w:rPr>
          <w:rFonts w:ascii="Segoe UI" w:hAnsi="Segoe UI" w:cs="Segoe UI"/>
          <w:sz w:val="21"/>
          <w:szCs w:val="21"/>
          <w:lang w:val="es-ES_tradnl"/>
        </w:rPr>
      </w:pPr>
      <w:r w:rsidRPr="00AB20BB">
        <w:rPr>
          <w:rFonts w:ascii="Segoe UI" w:hAnsi="Segoe UI"/>
          <w:sz w:val="21"/>
          <w:lang w:val="es-ES_tradnl"/>
        </w:rPr>
        <w:t xml:space="preserve">nuevas ideas u opciones alternativas. </w:t>
      </w:r>
    </w:p>
    <w:p w14:paraId="1A253AEB" w14:textId="6C6AF0CF" w:rsidR="00B55962" w:rsidRPr="00AB20BB" w:rsidRDefault="005A480C" w:rsidP="00B55962">
      <w:pPr>
        <w:rPr>
          <w:b/>
          <w:bCs/>
          <w:u w:val="single"/>
          <w:lang w:val="es-ES_tradnl"/>
        </w:rPr>
      </w:pPr>
      <w:r w:rsidRPr="00AB20BB">
        <w:rPr>
          <w:rFonts w:ascii="Segoe UI" w:hAnsi="Segoe UI"/>
          <w:sz w:val="21"/>
          <w:lang w:val="es-ES_tradnl"/>
        </w:rPr>
        <w:t xml:space="preserve">Para </w:t>
      </w:r>
      <w:r w:rsidR="00B94F0D" w:rsidRPr="00AB20BB">
        <w:rPr>
          <w:rFonts w:ascii="Segoe UI" w:hAnsi="Segoe UI"/>
          <w:sz w:val="21"/>
          <w:lang w:val="es-ES_tradnl"/>
        </w:rPr>
        <w:t>hacernos llegar opiniones</w:t>
      </w:r>
      <w:r w:rsidRPr="00AB20BB">
        <w:rPr>
          <w:rFonts w:ascii="Segoe UI" w:hAnsi="Segoe UI"/>
          <w:sz w:val="21"/>
          <w:lang w:val="es-ES_tradnl"/>
        </w:rPr>
        <w:t xml:space="preserve">, </w:t>
      </w:r>
      <w:r w:rsidR="00B94F0D" w:rsidRPr="00AB20BB">
        <w:rPr>
          <w:rFonts w:ascii="Segoe UI" w:hAnsi="Segoe UI"/>
          <w:sz w:val="21"/>
          <w:lang w:val="es-ES_tradnl"/>
        </w:rPr>
        <w:t>se debe utilizar</w:t>
      </w:r>
      <w:r w:rsidRPr="00AB20BB">
        <w:rPr>
          <w:rFonts w:ascii="Segoe UI" w:hAnsi="Segoe UI"/>
          <w:sz w:val="21"/>
          <w:lang w:val="es-ES_tradnl"/>
        </w:rPr>
        <w:t xml:space="preserve"> la plantilla que </w:t>
      </w:r>
      <w:r w:rsidR="00B94F0D" w:rsidRPr="00AB20BB">
        <w:rPr>
          <w:rFonts w:ascii="Segoe UI" w:hAnsi="Segoe UI"/>
          <w:sz w:val="21"/>
          <w:lang w:val="es-ES_tradnl"/>
        </w:rPr>
        <w:t>se encuentra</w:t>
      </w:r>
      <w:r w:rsidRPr="00AB20BB">
        <w:rPr>
          <w:rFonts w:ascii="Segoe UI" w:hAnsi="Segoe UI"/>
          <w:sz w:val="21"/>
          <w:lang w:val="es-ES_tradnl"/>
        </w:rPr>
        <w:t xml:space="preserve"> en nuestro sitio web o </w:t>
      </w:r>
      <w:r w:rsidR="00B94F0D" w:rsidRPr="00AB20BB">
        <w:rPr>
          <w:rFonts w:ascii="Segoe UI" w:hAnsi="Segoe UI"/>
          <w:sz w:val="21"/>
          <w:lang w:val="es-ES_tradnl"/>
        </w:rPr>
        <w:t>enviar</w:t>
      </w:r>
      <w:r w:rsidRPr="00AB20BB">
        <w:rPr>
          <w:rFonts w:ascii="Segoe UI" w:hAnsi="Segoe UI"/>
          <w:sz w:val="21"/>
          <w:lang w:val="es-ES_tradnl"/>
        </w:rPr>
        <w:t xml:space="preserve"> un correo electrónico a</w:t>
      </w:r>
      <w:r w:rsidRPr="00AB20BB">
        <w:rPr>
          <w:lang w:val="es-ES_tradnl"/>
        </w:rPr>
        <w:t xml:space="preserve"> </w:t>
      </w:r>
      <w:hyperlink r:id="rId11" w:history="1">
        <w:r w:rsidRPr="00AB20BB">
          <w:rPr>
            <w:rStyle w:val="Hyperlink"/>
            <w:b/>
            <w:lang w:val="es-ES_tradnl"/>
          </w:rPr>
          <w:t>EmergencyManagementBill@nema.govt.nz</w:t>
        </w:r>
      </w:hyperlink>
      <w:r w:rsidR="00541903" w:rsidRPr="00AB20BB">
        <w:rPr>
          <w:b/>
          <w:bCs/>
          <w:u w:val="single"/>
          <w:lang w:val="es-ES_tradnl"/>
        </w:rPr>
        <w:t>.</w:t>
      </w:r>
    </w:p>
    <w:p w14:paraId="3F5F636B" w14:textId="4A6900EF" w:rsidR="00085F1B" w:rsidRPr="001B61B2" w:rsidRDefault="00B245AB" w:rsidP="00085F1B">
      <w:pPr>
        <w:rPr>
          <w:rFonts w:ascii="Segoe UI" w:hAnsi="Segoe UI" w:cs="Segoe UI"/>
          <w:b/>
          <w:bCs/>
          <w:sz w:val="21"/>
          <w:szCs w:val="21"/>
          <w:lang w:val="es-ES"/>
        </w:rPr>
      </w:pPr>
      <w:hyperlink r:id="rId12" w:history="1">
        <w:r w:rsidR="00085F1B" w:rsidRPr="00B245AB">
          <w:rPr>
            <w:rStyle w:val="Hyperlink"/>
            <w:rFonts w:ascii="Segoe UI" w:hAnsi="Segoe UI" w:cs="Segoe UI"/>
            <w:b/>
            <w:bCs/>
            <w:sz w:val="21"/>
            <w:szCs w:val="21"/>
            <w:lang w:val="es-ES"/>
          </w:rPr>
          <w:t>Consulta sobre el proyecto de ley de gestión de emergencias</w:t>
        </w:r>
      </w:hyperlink>
    </w:p>
    <w:p w14:paraId="0EA5EEF5" w14:textId="0F3B456A" w:rsidR="007B48FF" w:rsidRPr="00085F1B" w:rsidRDefault="00085F1B" w:rsidP="00B55962">
      <w:pPr>
        <w:rPr>
          <w:rFonts w:ascii="Segoe UI" w:hAnsi="Segoe UI" w:cs="Segoe UI"/>
          <w:b/>
          <w:bCs/>
          <w:vanish/>
          <w:sz w:val="21"/>
          <w:szCs w:val="21"/>
          <w:lang w:val="es-ES"/>
        </w:rPr>
      </w:pPr>
      <w:r w:rsidRPr="00AB20BB">
        <w:rPr>
          <w:rFonts w:ascii="Segoe UI" w:hAnsi="Segoe UI"/>
          <w:noProof/>
          <w:sz w:val="21"/>
          <w:szCs w:val="21"/>
          <w:lang w:val="es-ES_tradnl"/>
        </w:rPr>
        <mc:AlternateContent>
          <mc:Choice Requires="wps">
            <w:drawing>
              <wp:anchor distT="45720" distB="45720" distL="114300" distR="114300" simplePos="0" relativeHeight="251661312" behindDoc="0" locked="0" layoutInCell="1" allowOverlap="1" wp14:anchorId="6DA6CA60" wp14:editId="42AF7330">
                <wp:simplePos x="0" y="0"/>
                <wp:positionH relativeFrom="margin">
                  <wp:posOffset>0</wp:posOffset>
                </wp:positionH>
                <wp:positionV relativeFrom="paragraph">
                  <wp:posOffset>1410970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1B61B2" w:rsidRDefault="00591BBE" w:rsidP="00F6144D">
                            <w:pPr>
                              <w:rPr>
                                <w:color w:val="215E99" w:themeColor="text2" w:themeTint="BF"/>
                                <w:lang w:val="es-ES"/>
                              </w:rPr>
                            </w:pPr>
                            <w:r w:rsidRPr="001B61B2">
                              <w:rPr>
                                <w:rFonts w:ascii="Segoe UI" w:hAnsi="Segoe UI"/>
                                <w:color w:val="215E99" w:themeColor="text2" w:themeTint="BF"/>
                                <w:sz w:val="21"/>
                                <w:lang w:val="es-ES"/>
                              </w:rPr>
                              <w:t xml:space="preserve">Si desea saber qué pueden hacer usted y su comunidad para estar preparados ante una emergencia, visite: </w:t>
                            </w:r>
                            <w:hyperlink r:id="rId13" w:history="1">
                              <w:r w:rsidRPr="001B61B2">
                                <w:rPr>
                                  <w:rStyle w:val="Hyperlink"/>
                                  <w:rFonts w:ascii="Segoe UI" w:hAnsi="Segoe UI"/>
                                  <w:b/>
                                  <w:color w:val="215E99" w:themeColor="text2" w:themeTint="BF"/>
                                  <w:sz w:val="21"/>
                                  <w:lang w:val="es-ES"/>
                                </w:rPr>
                                <w:t>https://getready.govt.nz/</w:t>
                              </w:r>
                            </w:hyperlink>
                            <w:r w:rsidRPr="001B61B2">
                              <w:rPr>
                                <w:rFonts w:ascii="Segoe UI" w:hAnsi="Segoe UI"/>
                                <w:color w:val="215E99" w:themeColor="text2" w:themeTint="BF"/>
                                <w:sz w:val="21"/>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CA60" id="_x0000_s1027" type="#_x0000_t202" style="position:absolute;margin-left:0;margin-top:111.1pt;width:451.5pt;height: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" fillcolor="#dceaf7 [351]" strokecolor="#215e99 [2431]" strokeweight="1.25pt">
                <v:fill opacity="31354f"/>
                <v:textbox>
                  <w:txbxContent>
                    <w:p w14:paraId="553A8CC8" w14:textId="3FF14C66" w:rsidR="00F6144D" w:rsidRPr="001B61B2" w:rsidRDefault="00591BBE" w:rsidP="00F6144D">
                      <w:pPr>
                        <w:rPr>
                          <w:color w:val="215E99" w:themeColor="text2" w:themeTint="BF"/>
                          <w:lang w:val="es-ES"/>
                        </w:rPr>
                      </w:pPr>
                      <w:r w:rsidRPr="001B61B2">
                        <w:rPr>
                          <w:rFonts w:ascii="Segoe UI" w:hAnsi="Segoe UI"/>
                          <w:color w:val="215E99" w:themeColor="text2" w:themeTint="BF"/>
                          <w:sz w:val="21"/>
                          <w:lang w:val="es-ES"/>
                        </w:rPr>
                        <w:t xml:space="preserve">Si desea saber qué pueden hacer usted y su comunidad para estar preparados ante una emergencia, visite: </w:t>
                      </w:r>
                      <w:hyperlink r:id="rId14" w:history="1">
                        <w:r w:rsidRPr="001B61B2">
                          <w:rPr>
                            <w:rStyle w:val="Hyperlink"/>
                            <w:rFonts w:ascii="Segoe UI" w:hAnsi="Segoe UI"/>
                            <w:b/>
                            <w:color w:val="215E99" w:themeColor="text2" w:themeTint="BF"/>
                            <w:sz w:val="21"/>
                            <w:lang w:val="es-ES"/>
                          </w:rPr>
                          <w:t>https://getready.govt.nz/</w:t>
                        </w:r>
                      </w:hyperlink>
                      <w:r w:rsidRPr="001B61B2">
                        <w:rPr>
                          <w:rFonts w:ascii="Segoe UI" w:hAnsi="Segoe UI"/>
                          <w:color w:val="215E99" w:themeColor="text2" w:themeTint="BF"/>
                          <w:sz w:val="21"/>
                          <w:lang w:val="es-ES"/>
                        </w:rPr>
                        <w:t xml:space="preserve"> </w:t>
                      </w:r>
                    </w:p>
                  </w:txbxContent>
                </v:textbox>
                <w10:wrap type="square" anchorx="margin"/>
              </v:shape>
            </w:pict>
          </mc:Fallback>
        </mc:AlternateContent>
      </w:r>
    </w:p>
    <w:p w14:paraId="0C84EFC7" w14:textId="3822198F" w:rsidR="005A480C" w:rsidRPr="00AB20BB" w:rsidRDefault="00A63ED1" w:rsidP="005A480C">
      <w:pPr>
        <w:rPr>
          <w:rFonts w:ascii="Segoe UI" w:hAnsi="Segoe UI" w:cs="Segoe UI"/>
          <w:sz w:val="21"/>
          <w:szCs w:val="21"/>
          <w:lang w:val="es-ES_tradnl"/>
        </w:rPr>
      </w:pPr>
      <w:r w:rsidRPr="00AB20BB">
        <w:rPr>
          <w:rFonts w:ascii="Segoe UI" w:hAnsi="Segoe UI"/>
          <w:sz w:val="21"/>
          <w:lang w:val="es-ES_tradnl"/>
        </w:rPr>
        <w:t xml:space="preserve">Las opiniones deben enviarse en inglés o en </w:t>
      </w:r>
      <w:r w:rsidRPr="00AB20BB">
        <w:rPr>
          <w:rFonts w:ascii="Segoe UI" w:hAnsi="Segoe UI"/>
          <w:i/>
          <w:iCs/>
          <w:sz w:val="21"/>
          <w:lang w:val="es-ES_tradnl"/>
        </w:rPr>
        <w:t>te reo</w:t>
      </w:r>
      <w:r w:rsidRPr="00AB20BB">
        <w:rPr>
          <w:rFonts w:ascii="Segoe UI" w:hAnsi="Segoe UI"/>
          <w:sz w:val="21"/>
          <w:lang w:val="es-ES_tradnl"/>
        </w:rPr>
        <w:t xml:space="preserve"> maorí, y es posible que se transmitan a otros organismos gubernamentales, que se publiquen en nuestro sitio web o que se compartan en respuesta a una solicitud presentada en el marco de la Ley de Información Oficial. Si proporciona información que no desea que se comparta (como su nombre), indíquelo claramente en el correo electrónico que acompañe su </w:t>
      </w:r>
      <w:r w:rsidR="006B7DDF" w:rsidRPr="00AB20BB">
        <w:rPr>
          <w:rFonts w:ascii="Segoe UI" w:hAnsi="Segoe UI"/>
          <w:sz w:val="21"/>
          <w:lang w:val="es-ES_tradnl"/>
        </w:rPr>
        <w:t>contribución y señale</w:t>
      </w:r>
      <w:r w:rsidRPr="00AB20BB">
        <w:rPr>
          <w:rFonts w:ascii="Segoe UI" w:hAnsi="Segoe UI"/>
          <w:sz w:val="21"/>
          <w:lang w:val="es-ES_tradnl"/>
        </w:rPr>
        <w:t xml:space="preserve"> </w:t>
      </w:r>
      <w:r w:rsidR="006B7DDF" w:rsidRPr="00AB20BB">
        <w:rPr>
          <w:rFonts w:ascii="Segoe UI" w:hAnsi="Segoe UI"/>
          <w:sz w:val="21"/>
          <w:lang w:val="es-ES_tradnl"/>
        </w:rPr>
        <w:t>qué partes no deben divulgarse</w:t>
      </w:r>
      <w:r w:rsidRPr="00AB20BB">
        <w:rPr>
          <w:rFonts w:ascii="Segoe UI" w:hAnsi="Segoe UI"/>
          <w:sz w:val="21"/>
          <w:lang w:val="es-ES_tradnl"/>
        </w:rPr>
        <w:t xml:space="preserve"> y </w:t>
      </w:r>
      <w:r w:rsidR="006B7DDF" w:rsidRPr="00AB20BB">
        <w:rPr>
          <w:rFonts w:ascii="Segoe UI" w:hAnsi="Segoe UI"/>
          <w:sz w:val="21"/>
          <w:lang w:val="es-ES_tradnl"/>
        </w:rPr>
        <w:t>los</w:t>
      </w:r>
      <w:r w:rsidRPr="00AB20BB">
        <w:rPr>
          <w:rFonts w:ascii="Segoe UI" w:hAnsi="Segoe UI"/>
          <w:sz w:val="21"/>
          <w:lang w:val="es-ES_tradnl"/>
        </w:rPr>
        <w:t xml:space="preserve"> motivos </w:t>
      </w:r>
      <w:r w:rsidR="006B7DDF" w:rsidRPr="00AB20BB">
        <w:rPr>
          <w:rFonts w:ascii="Segoe UI" w:hAnsi="Segoe UI"/>
          <w:sz w:val="21"/>
          <w:lang w:val="es-ES_tradnl"/>
        </w:rPr>
        <w:t>por los que no desea que eso ocurra</w:t>
      </w:r>
      <w:r w:rsidRPr="00AB20BB">
        <w:rPr>
          <w:rFonts w:ascii="Segoe UI" w:hAnsi="Segoe UI"/>
          <w:sz w:val="21"/>
          <w:lang w:val="es-ES_tradnl"/>
        </w:rPr>
        <w:t>.</w:t>
      </w:r>
    </w:p>
    <w:p w14:paraId="0AA47ED5" w14:textId="1EA75A1C" w:rsidR="005A480C" w:rsidRPr="00AB20BB" w:rsidRDefault="005A480C" w:rsidP="005A480C">
      <w:pPr>
        <w:pStyle w:val="ListParagraph"/>
        <w:ind w:left="714"/>
        <w:contextualSpacing w:val="0"/>
        <w:rPr>
          <w:rFonts w:ascii="Segoe UI" w:hAnsi="Segoe UI" w:cs="Segoe UI"/>
          <w:sz w:val="21"/>
          <w:szCs w:val="21"/>
          <w:lang w:val="es-ES_tradnl"/>
        </w:rPr>
      </w:pPr>
    </w:p>
    <w:sectPr w:rsidR="005A480C" w:rsidRPr="00AB20BB" w:rsidSect="006C6E7C">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903E" w14:textId="77777777" w:rsidR="00BE6AAB" w:rsidRDefault="00BE6AAB" w:rsidP="009E729D">
      <w:pPr>
        <w:spacing w:after="0" w:line="240" w:lineRule="auto"/>
      </w:pPr>
      <w:r>
        <w:separator/>
      </w:r>
    </w:p>
  </w:endnote>
  <w:endnote w:type="continuationSeparator" w:id="0">
    <w:p w14:paraId="79BA1F56" w14:textId="77777777" w:rsidR="00BE6AAB" w:rsidRDefault="00BE6AAB"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47CB" w14:textId="77777777" w:rsidR="00BE6AAB" w:rsidRDefault="00BE6AAB" w:rsidP="009E729D">
      <w:pPr>
        <w:spacing w:after="0" w:line="240" w:lineRule="auto"/>
      </w:pPr>
      <w:r>
        <w:separator/>
      </w:r>
    </w:p>
  </w:footnote>
  <w:footnote w:type="continuationSeparator" w:id="0">
    <w:p w14:paraId="1B6EDA07" w14:textId="77777777" w:rsidR="00BE6AAB" w:rsidRDefault="00BE6AAB"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2B47"/>
    <w:rsid w:val="000251D1"/>
    <w:rsid w:val="000326C1"/>
    <w:rsid w:val="00057F2A"/>
    <w:rsid w:val="00067E03"/>
    <w:rsid w:val="00085F1B"/>
    <w:rsid w:val="00093125"/>
    <w:rsid w:val="000938CC"/>
    <w:rsid w:val="00097B62"/>
    <w:rsid w:val="000B7678"/>
    <w:rsid w:val="000D4870"/>
    <w:rsid w:val="000E1856"/>
    <w:rsid w:val="0010037A"/>
    <w:rsid w:val="001036AC"/>
    <w:rsid w:val="001055ED"/>
    <w:rsid w:val="00153527"/>
    <w:rsid w:val="00153A89"/>
    <w:rsid w:val="001547D4"/>
    <w:rsid w:val="00162E23"/>
    <w:rsid w:val="00190B1F"/>
    <w:rsid w:val="001A55A1"/>
    <w:rsid w:val="001B61B2"/>
    <w:rsid w:val="001C460E"/>
    <w:rsid w:val="001C4E8E"/>
    <w:rsid w:val="001C5684"/>
    <w:rsid w:val="001C5B9A"/>
    <w:rsid w:val="001E3269"/>
    <w:rsid w:val="0020656A"/>
    <w:rsid w:val="00207C8D"/>
    <w:rsid w:val="002111C1"/>
    <w:rsid w:val="0022204D"/>
    <w:rsid w:val="002242E5"/>
    <w:rsid w:val="002275DD"/>
    <w:rsid w:val="00233834"/>
    <w:rsid w:val="0023654A"/>
    <w:rsid w:val="0024014B"/>
    <w:rsid w:val="00275014"/>
    <w:rsid w:val="00283787"/>
    <w:rsid w:val="002C34A6"/>
    <w:rsid w:val="002F0BAA"/>
    <w:rsid w:val="002F79A1"/>
    <w:rsid w:val="003063FD"/>
    <w:rsid w:val="00307224"/>
    <w:rsid w:val="003137EF"/>
    <w:rsid w:val="0033190B"/>
    <w:rsid w:val="00355AEB"/>
    <w:rsid w:val="0035797B"/>
    <w:rsid w:val="003912D5"/>
    <w:rsid w:val="003C0BAE"/>
    <w:rsid w:val="003D171F"/>
    <w:rsid w:val="003D27E7"/>
    <w:rsid w:val="003E4D7C"/>
    <w:rsid w:val="003F2FF4"/>
    <w:rsid w:val="00406319"/>
    <w:rsid w:val="00414EF9"/>
    <w:rsid w:val="00416497"/>
    <w:rsid w:val="004179F3"/>
    <w:rsid w:val="00417EEB"/>
    <w:rsid w:val="00431D1A"/>
    <w:rsid w:val="00435678"/>
    <w:rsid w:val="0044192B"/>
    <w:rsid w:val="00467D12"/>
    <w:rsid w:val="00480186"/>
    <w:rsid w:val="00481B70"/>
    <w:rsid w:val="004874C6"/>
    <w:rsid w:val="004945C6"/>
    <w:rsid w:val="00495F87"/>
    <w:rsid w:val="00496679"/>
    <w:rsid w:val="004A03F6"/>
    <w:rsid w:val="004B0812"/>
    <w:rsid w:val="004B6B40"/>
    <w:rsid w:val="004D014D"/>
    <w:rsid w:val="004D3C29"/>
    <w:rsid w:val="004E348D"/>
    <w:rsid w:val="005101FB"/>
    <w:rsid w:val="00536B38"/>
    <w:rsid w:val="00541903"/>
    <w:rsid w:val="00550C9F"/>
    <w:rsid w:val="00552C5E"/>
    <w:rsid w:val="00572AFA"/>
    <w:rsid w:val="00574862"/>
    <w:rsid w:val="0057596C"/>
    <w:rsid w:val="00591BBE"/>
    <w:rsid w:val="005A480C"/>
    <w:rsid w:val="005B1F77"/>
    <w:rsid w:val="005D6E66"/>
    <w:rsid w:val="005E30D4"/>
    <w:rsid w:val="005E34CC"/>
    <w:rsid w:val="005E764F"/>
    <w:rsid w:val="0062724E"/>
    <w:rsid w:val="00657BA8"/>
    <w:rsid w:val="0066075B"/>
    <w:rsid w:val="006674D4"/>
    <w:rsid w:val="006A33B9"/>
    <w:rsid w:val="006B7DDF"/>
    <w:rsid w:val="006C6E7C"/>
    <w:rsid w:val="006D3F3E"/>
    <w:rsid w:val="006D78F3"/>
    <w:rsid w:val="006E25A0"/>
    <w:rsid w:val="006F1CA0"/>
    <w:rsid w:val="006F637F"/>
    <w:rsid w:val="0070174A"/>
    <w:rsid w:val="00715C9B"/>
    <w:rsid w:val="007177FC"/>
    <w:rsid w:val="007262F8"/>
    <w:rsid w:val="00737461"/>
    <w:rsid w:val="00743A71"/>
    <w:rsid w:val="0074791E"/>
    <w:rsid w:val="00793A35"/>
    <w:rsid w:val="00795B99"/>
    <w:rsid w:val="007A0185"/>
    <w:rsid w:val="007B48FF"/>
    <w:rsid w:val="007C741C"/>
    <w:rsid w:val="00801B59"/>
    <w:rsid w:val="008020C1"/>
    <w:rsid w:val="0081002A"/>
    <w:rsid w:val="00821368"/>
    <w:rsid w:val="00824C46"/>
    <w:rsid w:val="00835D44"/>
    <w:rsid w:val="00840FDB"/>
    <w:rsid w:val="00842317"/>
    <w:rsid w:val="00846BF6"/>
    <w:rsid w:val="008532E7"/>
    <w:rsid w:val="00856145"/>
    <w:rsid w:val="00857D8B"/>
    <w:rsid w:val="00867DE6"/>
    <w:rsid w:val="00886C05"/>
    <w:rsid w:val="00887F33"/>
    <w:rsid w:val="008918E9"/>
    <w:rsid w:val="008A7D92"/>
    <w:rsid w:val="008B1670"/>
    <w:rsid w:val="008B37A8"/>
    <w:rsid w:val="008B3A74"/>
    <w:rsid w:val="008C4D8F"/>
    <w:rsid w:val="008D1A19"/>
    <w:rsid w:val="008F35E2"/>
    <w:rsid w:val="00904A2E"/>
    <w:rsid w:val="009065B0"/>
    <w:rsid w:val="00934312"/>
    <w:rsid w:val="00936007"/>
    <w:rsid w:val="009768A0"/>
    <w:rsid w:val="00980DF5"/>
    <w:rsid w:val="009A69DA"/>
    <w:rsid w:val="009B68F2"/>
    <w:rsid w:val="009E2D46"/>
    <w:rsid w:val="009E729D"/>
    <w:rsid w:val="009F4F89"/>
    <w:rsid w:val="00A038A6"/>
    <w:rsid w:val="00A05CDA"/>
    <w:rsid w:val="00A1698E"/>
    <w:rsid w:val="00A30B95"/>
    <w:rsid w:val="00A36C2D"/>
    <w:rsid w:val="00A55309"/>
    <w:rsid w:val="00A6042E"/>
    <w:rsid w:val="00A63ED1"/>
    <w:rsid w:val="00A71092"/>
    <w:rsid w:val="00AA14DC"/>
    <w:rsid w:val="00AB20BB"/>
    <w:rsid w:val="00AC0B44"/>
    <w:rsid w:val="00AD644C"/>
    <w:rsid w:val="00AE71A0"/>
    <w:rsid w:val="00B24429"/>
    <w:rsid w:val="00B245AB"/>
    <w:rsid w:val="00B55962"/>
    <w:rsid w:val="00B566FD"/>
    <w:rsid w:val="00B75D34"/>
    <w:rsid w:val="00B9059F"/>
    <w:rsid w:val="00B94F0D"/>
    <w:rsid w:val="00B96B71"/>
    <w:rsid w:val="00BA1320"/>
    <w:rsid w:val="00BA3F9C"/>
    <w:rsid w:val="00BA6044"/>
    <w:rsid w:val="00BB0204"/>
    <w:rsid w:val="00BE2C19"/>
    <w:rsid w:val="00BE6AAB"/>
    <w:rsid w:val="00BE6F65"/>
    <w:rsid w:val="00BF47F4"/>
    <w:rsid w:val="00C03E2E"/>
    <w:rsid w:val="00C118F2"/>
    <w:rsid w:val="00C2341D"/>
    <w:rsid w:val="00C2694C"/>
    <w:rsid w:val="00C33BB7"/>
    <w:rsid w:val="00C37C99"/>
    <w:rsid w:val="00C80F92"/>
    <w:rsid w:val="00C96893"/>
    <w:rsid w:val="00CB7738"/>
    <w:rsid w:val="00CE1D9B"/>
    <w:rsid w:val="00D00A16"/>
    <w:rsid w:val="00D078DE"/>
    <w:rsid w:val="00D602C7"/>
    <w:rsid w:val="00D65181"/>
    <w:rsid w:val="00D71D2A"/>
    <w:rsid w:val="00D85E32"/>
    <w:rsid w:val="00D94A2A"/>
    <w:rsid w:val="00D959C1"/>
    <w:rsid w:val="00DB3D1F"/>
    <w:rsid w:val="00DB4F21"/>
    <w:rsid w:val="00DB591E"/>
    <w:rsid w:val="00DE245B"/>
    <w:rsid w:val="00E04297"/>
    <w:rsid w:val="00E1078F"/>
    <w:rsid w:val="00E25D73"/>
    <w:rsid w:val="00E27A12"/>
    <w:rsid w:val="00E373D9"/>
    <w:rsid w:val="00E50647"/>
    <w:rsid w:val="00E516E4"/>
    <w:rsid w:val="00E53B58"/>
    <w:rsid w:val="00E53E9D"/>
    <w:rsid w:val="00E618DB"/>
    <w:rsid w:val="00E7304B"/>
    <w:rsid w:val="00E77938"/>
    <w:rsid w:val="00E9297D"/>
    <w:rsid w:val="00E92FBE"/>
    <w:rsid w:val="00EB3AF3"/>
    <w:rsid w:val="00EB57B3"/>
    <w:rsid w:val="00ED4E2D"/>
    <w:rsid w:val="00ED599E"/>
    <w:rsid w:val="00F22A27"/>
    <w:rsid w:val="00F34141"/>
    <w:rsid w:val="00F6144D"/>
    <w:rsid w:val="00F753C6"/>
    <w:rsid w:val="00F75772"/>
    <w:rsid w:val="00F84358"/>
    <w:rsid w:val="00F96E01"/>
    <w:rsid w:val="00FA3AEB"/>
    <w:rsid w:val="00FA5C5B"/>
    <w:rsid w:val="00FA6B26"/>
    <w:rsid w:val="00FA6CA5"/>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Open Sans"/>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emergency-management-bill" TargetMode="External"/><Relationship Id="rId13" Type="http://schemas.openxmlformats.org/officeDocument/2006/relationships/hyperlink" Target="https://getready.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emergency-management-bi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Bill@nema.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vildefence.govt.nz/strengthening-disaster-resilience-and-emergency-management" TargetMode="External"/><Relationship Id="rId4" Type="http://schemas.openxmlformats.org/officeDocument/2006/relationships/settings" Target="settings.xml"/><Relationship Id="rId9" Type="http://schemas.openxmlformats.org/officeDocument/2006/relationships/hyperlink" Target="https://www.civildefence.govt.nz/emergency-management-bill" TargetMode="External"/><Relationship Id="rId14" Type="http://schemas.openxmlformats.org/officeDocument/2006/relationships/hyperlink" Target="https://getready.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1675</Words>
  <Characters>9553</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3</cp:revision>
  <cp:lastPrinted>2025-03-25T23:37:00Z</cp:lastPrinted>
  <dcterms:created xsi:type="dcterms:W3CDTF">2025-04-28T20:21:00Z</dcterms:created>
  <dcterms:modified xsi:type="dcterms:W3CDTF">2025-05-01T01:58:00Z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