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8159C2" w:rsidP="007200A6">
      <w:pPr>
        <w:pStyle w:val="StyleLatinArialNarrow20ptBoldBackground2Before0p"/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CDC resource kit checklists</w:t>
      </w:r>
    </w:p>
    <w:p w:rsidR="004D2D14" w:rsidRPr="004D2D14" w:rsidRDefault="004D2D14" w:rsidP="004D2D14">
      <w:r w:rsidRPr="00FF23D1">
        <w:rPr>
          <w:color w:val="9B2703" w:themeColor="accent2"/>
          <w:sz w:val="20"/>
        </w:rPr>
        <w:t>This template is intended as a prompt only.  It includes elements that all CDEM Groups must consider, but may be customised according to CDEM Group size, structure, and resources.</w:t>
      </w:r>
      <w:r>
        <w:rPr>
          <w:color w:val="9B2703" w:themeColor="accent2"/>
          <w:sz w:val="20"/>
        </w:rPr>
        <w:t xml:space="preserve"> Brown text can be deleted.</w:t>
      </w:r>
    </w:p>
    <w:tbl>
      <w:tblPr>
        <w:tblStyle w:val="TableGrid4"/>
        <w:tblW w:w="96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987"/>
      </w:tblGrid>
      <w:tr w:rsidR="008159C2" w:rsidRPr="008159C2" w:rsidTr="00752715">
        <w:trPr>
          <w:cantSplit/>
        </w:trPr>
        <w:tc>
          <w:tcPr>
            <w:tcW w:w="9634" w:type="dxa"/>
            <w:gridSpan w:val="2"/>
            <w:tcMar>
              <w:right w:w="227" w:type="dxa"/>
            </w:tcMar>
          </w:tcPr>
          <w:p w:rsidR="008159C2" w:rsidRPr="008159C2" w:rsidRDefault="008159C2" w:rsidP="008159C2">
            <w:pPr>
              <w:rPr>
                <w:lang w:eastAsia="en-NZ"/>
              </w:rPr>
            </w:pPr>
            <w:r w:rsidRPr="008159C2">
              <w:rPr>
                <w:lang w:eastAsia="en-NZ"/>
              </w:rPr>
              <w:t>A resource kit containing basic portable materials for operation should be available for each potential CDC. Suggested contents of this kit are shown in the checklist below.</w:t>
            </w: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  <w:tblHeader/>
        </w:trPr>
        <w:tc>
          <w:tcPr>
            <w:tcW w:w="8647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8159C2" w:rsidRPr="008159C2" w:rsidRDefault="008159C2" w:rsidP="008159C2">
            <w:pPr>
              <w:spacing w:before="60" w:after="60" w:line="240" w:lineRule="auto"/>
              <w:rPr>
                <w:b/>
                <w:color w:val="FFFFFF"/>
                <w:lang w:eastAsia="en-NZ"/>
              </w:rPr>
            </w:pPr>
            <w:r w:rsidRPr="008159C2">
              <w:rPr>
                <w:b/>
                <w:color w:val="FFFFFF"/>
                <w:lang w:eastAsia="en-NZ"/>
              </w:rPr>
              <w:t>Portable resources</w:t>
            </w:r>
          </w:p>
        </w:tc>
        <w:tc>
          <w:tcPr>
            <w:tcW w:w="987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  <w:vAlign w:val="bottom"/>
          </w:tcPr>
          <w:p w:rsidR="008159C2" w:rsidRPr="008159C2" w:rsidRDefault="008159C2" w:rsidP="008159C2">
            <w:pPr>
              <w:spacing w:before="60" w:after="60" w:line="240" w:lineRule="auto"/>
              <w:jc w:val="center"/>
              <w:rPr>
                <w:rFonts w:ascii="Webdings" w:hAnsi="Webdings"/>
                <w:b/>
                <w:color w:val="FFFFFF"/>
                <w:lang w:eastAsia="en-NZ"/>
              </w:rPr>
            </w:pPr>
            <w:r w:rsidRPr="008159C2">
              <w:rPr>
                <w:rFonts w:ascii="Webdings" w:hAnsi="Webdings"/>
                <w:b/>
                <w:color w:val="FFFFFF"/>
                <w:lang w:eastAsia="en-NZ"/>
              </w:rPr>
              <w:t></w:t>
            </w: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</w:trPr>
        <w:tc>
          <w:tcPr>
            <w:tcW w:w="864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 xml:space="preserve">CDC signage </w:t>
            </w:r>
          </w:p>
        </w:tc>
        <w:tc>
          <w:tcPr>
            <w:tcW w:w="98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</w:trPr>
        <w:tc>
          <w:tcPr>
            <w:tcW w:w="864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Signage for all areas, desks, or teams within the CDC (include adhesive or mounting materials such as tape, glue, staples, twine etc)</w:t>
            </w:r>
          </w:p>
        </w:tc>
        <w:tc>
          <w:tcPr>
            <w:tcW w:w="98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</w:trPr>
        <w:tc>
          <w:tcPr>
            <w:tcW w:w="864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ID badges and vests for CDC staff</w:t>
            </w:r>
          </w:p>
        </w:tc>
        <w:tc>
          <w:tcPr>
            <w:tcW w:w="98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</w:trPr>
        <w:tc>
          <w:tcPr>
            <w:tcW w:w="864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Laptops, printers, and equipment for enabling remote internet access</w:t>
            </w:r>
          </w:p>
        </w:tc>
        <w:tc>
          <w:tcPr>
            <w:tcW w:w="98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</w:trPr>
        <w:tc>
          <w:tcPr>
            <w:tcW w:w="864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Printed versions of procedures, checklists, and relevant forms</w:t>
            </w:r>
          </w:p>
        </w:tc>
        <w:tc>
          <w:tcPr>
            <w:tcW w:w="98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</w:trPr>
        <w:tc>
          <w:tcPr>
            <w:tcW w:w="864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Electronic versions of procedures, checklists, and relevant forms</w:t>
            </w:r>
          </w:p>
        </w:tc>
        <w:tc>
          <w:tcPr>
            <w:tcW w:w="98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</w:trPr>
        <w:tc>
          <w:tcPr>
            <w:tcW w:w="864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Stationery items (pens, clipboards, folders, printer paper)</w:t>
            </w:r>
          </w:p>
        </w:tc>
        <w:tc>
          <w:tcPr>
            <w:tcW w:w="98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</w:trPr>
        <w:tc>
          <w:tcPr>
            <w:tcW w:w="864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First aid kit</w:t>
            </w:r>
          </w:p>
        </w:tc>
        <w:tc>
          <w:tcPr>
            <w:tcW w:w="987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blPrEx>
          <w:tblBorders>
            <w:top w:val="single" w:sz="12" w:space="0" w:color="005A9B" w:themeColor="background2"/>
            <w:left w:val="single" w:sz="12" w:space="0" w:color="005A9B" w:themeColor="background2"/>
            <w:bottom w:val="single" w:sz="12" w:space="0" w:color="005A9B" w:themeColor="background2"/>
            <w:right w:val="single" w:sz="12" w:space="0" w:color="005A9B" w:themeColor="background2"/>
            <w:insideH w:val="single" w:sz="6" w:space="0" w:color="005A9B" w:themeColor="background2"/>
            <w:insideV w:val="single" w:sz="6" w:space="0" w:color="005A9B" w:themeColor="background2"/>
          </w:tblBorders>
        </w:tblPrEx>
        <w:trPr>
          <w:cantSplit/>
        </w:trPr>
        <w:tc>
          <w:tcPr>
            <w:tcW w:w="8647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Civil defence or survival kit items, such as torches, portable radios, and batteries</w:t>
            </w:r>
          </w:p>
        </w:tc>
        <w:tc>
          <w:tcPr>
            <w:tcW w:w="987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</w:tbl>
    <w:p w:rsidR="008159C2" w:rsidRPr="008159C2" w:rsidRDefault="008159C2" w:rsidP="008159C2">
      <w:pPr>
        <w:spacing w:before="20" w:after="20" w:line="240" w:lineRule="auto"/>
        <w:rPr>
          <w:i/>
          <w:color w:val="9B2703" w:themeColor="accent2"/>
        </w:rPr>
      </w:pPr>
      <w:r w:rsidRPr="008159C2">
        <w:rPr>
          <w:i/>
          <w:color w:val="9B2703" w:themeColor="accent2"/>
        </w:rPr>
        <w:t>Note that rows may be added to include more detail, such as quantity and specific item type.</w:t>
      </w:r>
    </w:p>
    <w:p w:rsidR="008159C2" w:rsidRPr="008159C2" w:rsidRDefault="008159C2" w:rsidP="008159C2">
      <w:pPr>
        <w:spacing w:before="0" w:after="0" w:line="240" w:lineRule="auto"/>
        <w:rPr>
          <w:sz w:val="16"/>
        </w:rPr>
      </w:pPr>
    </w:p>
    <w:tbl>
      <w:tblPr>
        <w:tblStyle w:val="TableGrid4"/>
        <w:tblW w:w="488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2"/>
      </w:tblGrid>
      <w:tr w:rsidR="008159C2" w:rsidRPr="008159C2" w:rsidTr="00752715">
        <w:trPr>
          <w:cantSplit/>
        </w:trPr>
        <w:tc>
          <w:tcPr>
            <w:tcW w:w="5000" w:type="pct"/>
            <w:tcMar>
              <w:right w:w="227" w:type="dxa"/>
            </w:tcMar>
          </w:tcPr>
          <w:p w:rsidR="008159C2" w:rsidRPr="008159C2" w:rsidRDefault="008159C2" w:rsidP="008159C2">
            <w:pPr>
              <w:rPr>
                <w:lang w:eastAsia="en-NZ"/>
              </w:rPr>
            </w:pPr>
            <w:r w:rsidRPr="008159C2">
              <w:rPr>
                <w:lang w:eastAsia="en-NZ"/>
              </w:rPr>
              <w:t>A range of resources related to the facility also need to be identified, located, and (if possible) stockpiled for use in each CDC.</w:t>
            </w:r>
          </w:p>
          <w:p w:rsidR="008159C2" w:rsidRPr="008159C2" w:rsidRDefault="008159C2" w:rsidP="008159C2">
            <w:pPr>
              <w:rPr>
                <w:lang w:eastAsia="en-NZ"/>
              </w:rPr>
            </w:pPr>
            <w:r w:rsidRPr="008159C2">
              <w:rPr>
                <w:lang w:eastAsia="en-NZ"/>
              </w:rPr>
              <w:t xml:space="preserve">If these resources are centralised (rather than stored at each potential facility), a transport and distribution plan may need to be developed. </w:t>
            </w:r>
          </w:p>
        </w:tc>
      </w:tr>
    </w:tbl>
    <w:p w:rsidR="008159C2" w:rsidRPr="008159C2" w:rsidRDefault="008159C2" w:rsidP="008159C2">
      <w:pPr>
        <w:spacing w:before="0" w:after="0" w:line="240" w:lineRule="auto"/>
        <w:rPr>
          <w:sz w:val="16"/>
          <w:lang w:eastAsia="en-NZ"/>
        </w:rPr>
      </w:pPr>
    </w:p>
    <w:tbl>
      <w:tblPr>
        <w:tblStyle w:val="TableGrid4"/>
        <w:tblW w:w="4945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8647"/>
        <w:gridCol w:w="986"/>
      </w:tblGrid>
      <w:tr w:rsidR="008159C2" w:rsidRPr="008159C2" w:rsidTr="00752715">
        <w:trPr>
          <w:cantSplit/>
        </w:trPr>
        <w:tc>
          <w:tcPr>
            <w:tcW w:w="4488" w:type="pct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8159C2" w:rsidRPr="008159C2" w:rsidRDefault="008159C2" w:rsidP="008159C2">
            <w:pPr>
              <w:spacing w:before="60" w:after="60" w:line="240" w:lineRule="auto"/>
              <w:rPr>
                <w:b/>
                <w:color w:val="FFFFFF"/>
                <w:lang w:eastAsia="en-NZ"/>
              </w:rPr>
            </w:pPr>
            <w:r w:rsidRPr="008159C2">
              <w:rPr>
                <w:b/>
                <w:color w:val="FFFFFF"/>
                <w:lang w:eastAsia="en-NZ"/>
              </w:rPr>
              <w:t>Facility resources</w:t>
            </w:r>
          </w:p>
        </w:tc>
        <w:tc>
          <w:tcPr>
            <w:tcW w:w="512" w:type="pct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  <w:vAlign w:val="bottom"/>
          </w:tcPr>
          <w:p w:rsidR="008159C2" w:rsidRPr="008159C2" w:rsidRDefault="008159C2" w:rsidP="008159C2">
            <w:pPr>
              <w:spacing w:before="60" w:after="60" w:line="240" w:lineRule="auto"/>
              <w:jc w:val="center"/>
              <w:rPr>
                <w:rFonts w:ascii="Webdings" w:hAnsi="Webdings"/>
                <w:b/>
                <w:color w:val="FFFFFF"/>
                <w:lang w:eastAsia="en-NZ"/>
              </w:rPr>
            </w:pPr>
            <w:r w:rsidRPr="008159C2">
              <w:rPr>
                <w:rFonts w:ascii="Webdings" w:hAnsi="Webdings"/>
                <w:b/>
                <w:color w:val="FFFFFF"/>
                <w:lang w:eastAsia="en-NZ"/>
              </w:rPr>
              <w:t></w:t>
            </w:r>
          </w:p>
        </w:tc>
      </w:tr>
      <w:tr w:rsidR="008159C2" w:rsidRPr="008159C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Desks and chairs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Stored water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Catering items (hot water urns, kitchen utensils, gas cookers, supplies of non-perishable food)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8159C2" w:rsidRPr="008159C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  <w:r w:rsidRPr="008159C2">
              <w:rPr>
                <w:lang w:eastAsia="en-NZ"/>
              </w:rPr>
              <w:t>Other household goods (toilet paper, cleaning products)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8159C2" w:rsidRPr="008159C2" w:rsidRDefault="008159C2" w:rsidP="008159C2">
            <w:pPr>
              <w:spacing w:before="60" w:after="60" w:line="240" w:lineRule="auto"/>
              <w:rPr>
                <w:lang w:eastAsia="en-NZ"/>
              </w:rPr>
            </w:pPr>
          </w:p>
        </w:tc>
      </w:tr>
    </w:tbl>
    <w:p w:rsidR="008159C2" w:rsidRPr="008159C2" w:rsidRDefault="008159C2" w:rsidP="008159C2">
      <w:pPr>
        <w:spacing w:before="20" w:after="20" w:line="240" w:lineRule="auto"/>
        <w:rPr>
          <w:i/>
          <w:color w:val="9B2703" w:themeColor="accent2"/>
        </w:rPr>
      </w:pPr>
      <w:r w:rsidRPr="008159C2">
        <w:rPr>
          <w:i/>
          <w:color w:val="9B2703" w:themeColor="accent2"/>
        </w:rPr>
        <w:t>Add or delete rows/items as necessary</w:t>
      </w:r>
    </w:p>
    <w:p w:rsidR="00003E8D" w:rsidRPr="00444F9D" w:rsidRDefault="00003E8D" w:rsidP="00444F9D"/>
    <w:sectPr w:rsidR="00003E8D" w:rsidRPr="00444F9D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C2" w:rsidRDefault="008159C2" w:rsidP="0028688E">
      <w:pPr>
        <w:spacing w:before="0" w:after="0" w:line="240" w:lineRule="auto"/>
      </w:pPr>
      <w:r>
        <w:separator/>
      </w:r>
    </w:p>
  </w:endnote>
  <w:endnote w:type="continuationSeparator" w:id="0">
    <w:p w:rsidR="008159C2" w:rsidRDefault="008159C2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8159C2" w:rsidP="008159C2">
    <w:pPr>
      <w:pStyle w:val="MCDEMfooter"/>
      <w:tabs>
        <w:tab w:val="left" w:pos="4157"/>
      </w:tabs>
    </w:pPr>
    <w:r w:rsidRPr="008159C2">
      <w:t>CDC resource kit checklists</w:t>
    </w:r>
    <w:r w:rsidR="0028688E">
      <w:tab/>
    </w:r>
    <w:r w:rsidR="00855A5B">
      <w:tab/>
    </w:r>
    <w:r w:rsidR="0028688E">
      <w:t xml:space="preserve">Page </w:t>
    </w:r>
    <w:r w:rsidR="009B4A48">
      <w:fldChar w:fldCharType="begin"/>
    </w:r>
    <w:r w:rsidR="0028688E">
      <w:instrText xml:space="preserve"> PAGE   \* MERGEFORMAT </w:instrText>
    </w:r>
    <w:r w:rsidR="009B4A48">
      <w:fldChar w:fldCharType="separate"/>
    </w:r>
    <w:r w:rsidR="00B931DE">
      <w:rPr>
        <w:noProof/>
      </w:rPr>
      <w:t>1</w:t>
    </w:r>
    <w:r w:rsidR="009B4A48">
      <w:rPr>
        <w:noProof/>
      </w:rPr>
      <w:fldChar w:fldCharType="end"/>
    </w:r>
    <w:r w:rsidR="0028688E">
      <w:t xml:space="preserve"> of </w:t>
    </w:r>
    <w:fldSimple w:instr=" NUMPAGES   \* MERGEFORMAT ">
      <w:r w:rsidR="00B931D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C2" w:rsidRDefault="008159C2" w:rsidP="0028688E">
      <w:pPr>
        <w:spacing w:before="0" w:after="0" w:line="240" w:lineRule="auto"/>
      </w:pPr>
      <w:r>
        <w:separator/>
      </w:r>
    </w:p>
  </w:footnote>
  <w:footnote w:type="continuationSeparator" w:id="0">
    <w:p w:rsidR="008159C2" w:rsidRDefault="008159C2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159C2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063D5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4D2D14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159C2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B4A48"/>
    <w:rsid w:val="009F656B"/>
    <w:rsid w:val="00A0032D"/>
    <w:rsid w:val="00A07E93"/>
    <w:rsid w:val="00A11FE0"/>
    <w:rsid w:val="00B51752"/>
    <w:rsid w:val="00B53885"/>
    <w:rsid w:val="00B931DE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15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1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7033-21F4-4996-BC27-F596A2DF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2015-10-28T22:27:00Z</dcterms:created>
  <dcterms:modified xsi:type="dcterms:W3CDTF">2015-10-28T22:27:00Z</dcterms:modified>
</cp:coreProperties>
</file>