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62E3" w:rsidRPr="006C4669" w:rsidRDefault="003A4153" w:rsidP="00A44022">
      <w:pPr>
        <w:sectPr w:rsidR="007762E3" w:rsidRPr="006C4669" w:rsidSect="00C61295">
          <w:headerReference w:type="default" r:id="rId9"/>
          <w:footerReference w:type="even" r:id="rId10"/>
          <w:footerReference w:type="first" r:id="rId11"/>
          <w:pgSz w:w="11907" w:h="16840" w:code="9"/>
          <w:pgMar w:top="1701" w:right="1021" w:bottom="403" w:left="1361" w:header="284" w:footer="204" w:gutter="0"/>
          <w:cols w:space="720"/>
          <w:docGrid w:linePitch="326"/>
        </w:sectPr>
      </w:pPr>
      <w:r>
        <w:rPr>
          <w:noProof/>
          <w:lang w:eastAsia="en-NZ"/>
        </w:rPr>
        <w:drawing>
          <wp:anchor distT="0" distB="0" distL="114300" distR="114300" simplePos="0" relativeHeight="251734016" behindDoc="0" locked="0" layoutInCell="1" allowOverlap="1" wp14:anchorId="7B9D9BF5" wp14:editId="6875103F">
            <wp:simplePos x="0" y="0"/>
            <wp:positionH relativeFrom="column">
              <wp:posOffset>-855345</wp:posOffset>
            </wp:positionH>
            <wp:positionV relativeFrom="paragraph">
              <wp:posOffset>-1070610</wp:posOffset>
            </wp:positionV>
            <wp:extent cx="7572375" cy="10708640"/>
            <wp:effectExtent l="0" t="0" r="9525" b="0"/>
            <wp:wrapSquare wrapText="bothSides"/>
            <wp:docPr id="10" name="Picture 10" descr="This image shows the cover of Tsunami Evacuation Zones, Director's Guideline to CDEM Groups D G L 08/16."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unami Evacuation Zones DGL Cover 8-1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2375" cy="10708640"/>
                    </a:xfrm>
                    <a:prstGeom prst="rect">
                      <a:avLst/>
                    </a:prstGeom>
                  </pic:spPr>
                </pic:pic>
              </a:graphicData>
            </a:graphic>
            <wp14:sizeRelH relativeFrom="page">
              <wp14:pctWidth>0</wp14:pctWidth>
            </wp14:sizeRelH>
            <wp14:sizeRelV relativeFrom="page">
              <wp14:pctHeight>0</wp14:pctHeight>
            </wp14:sizeRelV>
          </wp:anchor>
        </w:drawing>
      </w:r>
    </w:p>
    <w:p w:rsidR="00AB326D" w:rsidRDefault="00A30A49" w:rsidP="00A44022">
      <w:pPr>
        <w:pStyle w:val="Insidecoverdocname"/>
      </w:pPr>
      <w:r w:rsidRPr="00994F31">
        <w:lastRenderedPageBreak/>
        <w:t>T</w:t>
      </w:r>
      <w:r w:rsidR="00994F31" w:rsidRPr="00994F31">
        <w:t>sunami Evacuation Zones</w:t>
      </w:r>
    </w:p>
    <w:p w:rsidR="001431A5" w:rsidRPr="00394F37" w:rsidRDefault="00AB326D" w:rsidP="00A44022">
      <w:pPr>
        <w:pStyle w:val="Insidecoverdocname2"/>
      </w:pPr>
      <w:r w:rsidRPr="00AB326D">
        <w:t xml:space="preserve">Director’s Guideline for Civil Defence Emergency Management </w:t>
      </w:r>
      <w:r w:rsidRPr="00E47407">
        <w:t>Groups</w:t>
      </w:r>
      <w:r w:rsidR="004C0B8F" w:rsidRPr="00E47407">
        <w:t xml:space="preserve"> [</w:t>
      </w:r>
      <w:r w:rsidR="00A30A49" w:rsidRPr="00E47407">
        <w:t xml:space="preserve">DGL </w:t>
      </w:r>
      <w:r w:rsidR="00994F31" w:rsidRPr="00E47407">
        <w:t>08</w:t>
      </w:r>
      <w:r w:rsidR="00A30A49" w:rsidRPr="00E47407">
        <w:t>/</w:t>
      </w:r>
      <w:r w:rsidR="00994F31" w:rsidRPr="00E47407">
        <w:t>1</w:t>
      </w:r>
      <w:r w:rsidR="0073795C">
        <w:t>6</w:t>
      </w:r>
      <w:r w:rsidR="004C0B8F" w:rsidRPr="00E47407">
        <w:t>]</w:t>
      </w:r>
    </w:p>
    <w:p w:rsidR="00125B69" w:rsidRDefault="00125B69" w:rsidP="00A44022">
      <w:pPr>
        <w:pStyle w:val="Insidecovernormal"/>
      </w:pPr>
    </w:p>
    <w:p w:rsidR="001431A5" w:rsidRPr="006557CF" w:rsidRDefault="005C2230" w:rsidP="00A44022">
      <w:pPr>
        <w:pStyle w:val="Insidecoverdateandauthority"/>
      </w:pPr>
      <w:r>
        <w:t>February</w:t>
      </w:r>
      <w:r w:rsidR="00994F31" w:rsidRPr="00994F31">
        <w:t xml:space="preserve"> 201</w:t>
      </w:r>
      <w:r w:rsidR="000D021A">
        <w:t>6</w:t>
      </w:r>
    </w:p>
    <w:p w:rsidR="003A4153" w:rsidRDefault="00A30A49" w:rsidP="00A44022">
      <w:pPr>
        <w:pStyle w:val="Insidecovernormal"/>
      </w:pPr>
      <w:r>
        <w:t xml:space="preserve">ISBN </w:t>
      </w:r>
      <w:r w:rsidR="003A4153" w:rsidRPr="003A4153">
        <w:t>978-0-478-43515-3</w:t>
      </w:r>
    </w:p>
    <w:p w:rsidR="001431A5" w:rsidRPr="00394F37" w:rsidRDefault="001431A5" w:rsidP="00A44022">
      <w:pPr>
        <w:pStyle w:val="Insidecovernormal"/>
      </w:pPr>
      <w:r w:rsidRPr="00394F37">
        <w:t>Published by the Ministry of Civil Defence &amp; Emergency Management</w:t>
      </w:r>
    </w:p>
    <w:p w:rsidR="001431A5" w:rsidRDefault="001431A5" w:rsidP="00A44022">
      <w:pPr>
        <w:pStyle w:val="Insidecovernormal"/>
      </w:pPr>
    </w:p>
    <w:p w:rsidR="00125B69" w:rsidRDefault="00125B69" w:rsidP="00A44022">
      <w:pPr>
        <w:pStyle w:val="Insidecoverdateandauthority"/>
      </w:pPr>
      <w:r>
        <w:t>Authority</w:t>
      </w:r>
      <w:r w:rsidR="005865C8">
        <w:t xml:space="preserve"> </w:t>
      </w:r>
    </w:p>
    <w:p w:rsidR="005F576F" w:rsidRDefault="00125B69" w:rsidP="00A44022">
      <w:pPr>
        <w:pStyle w:val="Insidecovernormal"/>
      </w:pPr>
      <w:r>
        <w:t xml:space="preserve">This guideline has been issued by the Director of the Ministry of Civil Defence </w:t>
      </w:r>
      <w:r w:rsidR="008A61A5">
        <w:t xml:space="preserve">&amp; </w:t>
      </w:r>
      <w:r>
        <w:t xml:space="preserve">Emergency Management pursuant to </w:t>
      </w:r>
      <w:proofErr w:type="gramStart"/>
      <w:r>
        <w:t>s9(</w:t>
      </w:r>
      <w:proofErr w:type="gramEnd"/>
      <w:r>
        <w:t xml:space="preserve">3) of the Civil Defence Emergency Management (CDEM) Act 2002. It provides </w:t>
      </w:r>
      <w:r w:rsidRPr="00994F31">
        <w:t>assistance to CDEM Groups in the</w:t>
      </w:r>
      <w:r w:rsidR="00994F31" w:rsidRPr="00994F31">
        <w:t xml:space="preserve">ir </w:t>
      </w:r>
      <w:r w:rsidR="00D66915" w:rsidRPr="00994F31">
        <w:t>tsunami evacuation planning</w:t>
      </w:r>
      <w:r w:rsidR="00A30A49" w:rsidRPr="00994F31">
        <w:t>.</w:t>
      </w:r>
    </w:p>
    <w:p w:rsidR="00800EBE" w:rsidRPr="00394F37" w:rsidRDefault="00800EBE" w:rsidP="00A44022">
      <w:pPr>
        <w:pStyle w:val="Insidecovernormal"/>
      </w:pPr>
      <w:bookmarkStart w:id="0" w:name="_GoBack"/>
      <w:bookmarkEnd w:id="0"/>
    </w:p>
    <w:p w:rsidR="001431A5" w:rsidRPr="007762E3" w:rsidRDefault="001431A5" w:rsidP="00A44022">
      <w:pPr>
        <w:pStyle w:val="Insidecovernormal"/>
      </w:pPr>
      <w:r w:rsidRPr="00394F37">
        <w:t xml:space="preserve">This document is not copyright and may be reproduced with acknowledgement. It is available, along with further information about the Ministry, </w:t>
      </w:r>
      <w:r w:rsidR="0069038B">
        <w:t xml:space="preserve">on the MCDEM website </w:t>
      </w:r>
      <w:hyperlink r:id="rId13" w:history="1">
        <w:r>
          <w:rPr>
            <w:rStyle w:val="Hyperlink"/>
            <w:rFonts w:cs="Arial"/>
          </w:rPr>
          <w:t>www.civildefence.govt.nz</w:t>
        </w:r>
      </w:hyperlink>
      <w:r w:rsidR="0069038B" w:rsidRPr="007762E3">
        <w:t>.</w:t>
      </w:r>
    </w:p>
    <w:p w:rsidR="00125B69" w:rsidRDefault="00125B69" w:rsidP="00A44022">
      <w:pPr>
        <w:pStyle w:val="Insidecovernormal"/>
      </w:pPr>
    </w:p>
    <w:p w:rsidR="00F93B2A" w:rsidRDefault="00F93B2A" w:rsidP="00A44022">
      <w:pPr>
        <w:pStyle w:val="Insidecovernormal"/>
      </w:pPr>
    </w:p>
    <w:p w:rsidR="00F93B2A" w:rsidRDefault="00E610E1" w:rsidP="00A44022">
      <w:pPr>
        <w:pStyle w:val="Insidecovernormal"/>
      </w:pPr>
      <w:r>
        <w:rPr>
          <w:noProof/>
          <w:lang w:eastAsia="en-NZ"/>
        </w:rPr>
        <w:drawing>
          <wp:anchor distT="0" distB="0" distL="114300" distR="114300" simplePos="0" relativeHeight="251732992" behindDoc="0" locked="0" layoutInCell="1" allowOverlap="1" wp14:anchorId="6DFD1FAB" wp14:editId="22B4DAB5">
            <wp:simplePos x="0" y="0"/>
            <wp:positionH relativeFrom="column">
              <wp:align>left</wp:align>
            </wp:positionH>
            <wp:positionV relativeFrom="paragraph">
              <wp:align>top</wp:align>
            </wp:positionV>
            <wp:extent cx="2004060" cy="561975"/>
            <wp:effectExtent l="0" t="0" r="0" b="9525"/>
            <wp:wrapSquare wrapText="bothSides"/>
            <wp:docPr id="37" name="Picture 37" descr="This image shows the logo of the Ministry of Civil Defence and Emergency Management." title="Logo - Ministry of Civil Defence and Emergency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8 14-36-42 552301DB - MCDEM-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4060" cy="561975"/>
                    </a:xfrm>
                    <a:prstGeom prst="rect">
                      <a:avLst/>
                    </a:prstGeom>
                  </pic:spPr>
                </pic:pic>
              </a:graphicData>
            </a:graphic>
          </wp:anchor>
        </w:drawing>
      </w:r>
      <w:r w:rsidR="0073795C">
        <w:br w:type="textWrapping" w:clear="all"/>
      </w:r>
    </w:p>
    <w:p w:rsidR="0031293A" w:rsidRDefault="0031293A" w:rsidP="00A44022">
      <w:pPr>
        <w:pStyle w:val="Default"/>
        <w:rPr>
          <w:sz w:val="22"/>
          <w:szCs w:val="22"/>
        </w:rPr>
      </w:pPr>
      <w:r>
        <w:rPr>
          <w:sz w:val="22"/>
          <w:szCs w:val="22"/>
        </w:rPr>
        <w:t xml:space="preserve">Ministry of Civil Defence &amp; Emergency Management </w:t>
      </w:r>
    </w:p>
    <w:p w:rsidR="0031293A" w:rsidRDefault="0031293A" w:rsidP="00A44022">
      <w:pPr>
        <w:pStyle w:val="Default"/>
        <w:rPr>
          <w:sz w:val="22"/>
          <w:szCs w:val="22"/>
        </w:rPr>
      </w:pPr>
      <w:r>
        <w:rPr>
          <w:sz w:val="22"/>
          <w:szCs w:val="22"/>
        </w:rPr>
        <w:t xml:space="preserve">PO Box 5010 </w:t>
      </w:r>
    </w:p>
    <w:p w:rsidR="0031293A" w:rsidRDefault="0031293A" w:rsidP="00A44022">
      <w:pPr>
        <w:pStyle w:val="Default"/>
        <w:rPr>
          <w:sz w:val="22"/>
          <w:szCs w:val="22"/>
        </w:rPr>
      </w:pPr>
      <w:r>
        <w:rPr>
          <w:sz w:val="22"/>
          <w:szCs w:val="22"/>
        </w:rPr>
        <w:t xml:space="preserve">Wellington 6145 </w:t>
      </w:r>
    </w:p>
    <w:p w:rsidR="0031293A" w:rsidRDefault="0031293A" w:rsidP="00A44022">
      <w:pPr>
        <w:pStyle w:val="Default"/>
        <w:rPr>
          <w:sz w:val="22"/>
          <w:szCs w:val="22"/>
        </w:rPr>
      </w:pPr>
      <w:r>
        <w:rPr>
          <w:sz w:val="22"/>
          <w:szCs w:val="22"/>
        </w:rPr>
        <w:t xml:space="preserve">New Zealand </w:t>
      </w:r>
    </w:p>
    <w:p w:rsidR="0031293A" w:rsidRDefault="0031293A" w:rsidP="00A44022">
      <w:pPr>
        <w:pStyle w:val="Default"/>
        <w:rPr>
          <w:sz w:val="22"/>
          <w:szCs w:val="22"/>
        </w:rPr>
      </w:pPr>
      <w:r>
        <w:rPr>
          <w:sz w:val="22"/>
          <w:szCs w:val="22"/>
        </w:rPr>
        <w:t xml:space="preserve">Tel: +64 4 817 8555 </w:t>
      </w:r>
    </w:p>
    <w:p w:rsidR="0082199B" w:rsidRDefault="0031293A" w:rsidP="00A44022">
      <w:pPr>
        <w:pStyle w:val="Insidecovernormal"/>
      </w:pPr>
      <w:r>
        <w:t>Fax: +64 4 817 8554</w:t>
      </w:r>
    </w:p>
    <w:p w:rsidR="0031293A" w:rsidRDefault="0031293A" w:rsidP="00A44022">
      <w:pPr>
        <w:pStyle w:val="Insidecovernormal"/>
      </w:pPr>
    </w:p>
    <w:p w:rsidR="00E46FF3" w:rsidRDefault="001431A5" w:rsidP="00A44022">
      <w:pPr>
        <w:pStyle w:val="Insidecovernormal"/>
        <w:rPr>
          <w:rStyle w:val="Hyperlink"/>
          <w:rFonts w:cs="Arial"/>
        </w:rPr>
      </w:pPr>
      <w:r>
        <w:t xml:space="preserve">Email: </w:t>
      </w:r>
      <w:hyperlink r:id="rId15" w:history="1">
        <w:r w:rsidR="0031293A" w:rsidRPr="00F97304">
          <w:rPr>
            <w:rStyle w:val="Hyperlink"/>
            <w:rFonts w:cs="Arial"/>
          </w:rPr>
          <w:t>emergency.management@dpmc.govt.nz</w:t>
        </w:r>
      </w:hyperlink>
    </w:p>
    <w:p w:rsidR="007762E3" w:rsidRPr="006067C2" w:rsidRDefault="007762E3" w:rsidP="00A44022">
      <w:pPr>
        <w:pStyle w:val="Insidecovernormal"/>
      </w:pPr>
      <w:r w:rsidRPr="006067C2">
        <w:t xml:space="preserve">Website: </w:t>
      </w:r>
      <w:hyperlink r:id="rId16" w:history="1">
        <w:r>
          <w:rPr>
            <w:rStyle w:val="Hyperlink"/>
            <w:rFonts w:cs="Arial"/>
          </w:rPr>
          <w:t>www.civildefence.govt.nz</w:t>
        </w:r>
      </w:hyperlink>
    </w:p>
    <w:p w:rsidR="005F576F" w:rsidRDefault="005F576F" w:rsidP="00A44022">
      <w:pPr>
        <w:pStyle w:val="BodyText"/>
        <w:rPr>
          <w:rStyle w:val="Hyperlink"/>
          <w:rFonts w:cs="Arial"/>
        </w:rPr>
        <w:sectPr w:rsidR="005F576F" w:rsidSect="007C028E">
          <w:footerReference w:type="even" r:id="rId17"/>
          <w:pgSz w:w="11907" w:h="16840" w:code="9"/>
          <w:pgMar w:top="7939" w:right="1021" w:bottom="992" w:left="737" w:header="567" w:footer="204" w:gutter="0"/>
          <w:cols w:space="720"/>
          <w:docGrid w:linePitch="326"/>
        </w:sectPr>
      </w:pPr>
    </w:p>
    <w:p w:rsidR="001431A5" w:rsidRPr="00FB55BB" w:rsidRDefault="001431A5" w:rsidP="00A44022">
      <w:pPr>
        <w:pStyle w:val="Titleforewordandcontents"/>
        <w:spacing w:before="120" w:after="120"/>
      </w:pPr>
      <w:bookmarkStart w:id="1" w:name="_Toc166994075"/>
      <w:r w:rsidRPr="00FB55BB">
        <w:lastRenderedPageBreak/>
        <w:t>Foreword</w:t>
      </w:r>
      <w:bookmarkEnd w:id="1"/>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3"/>
        <w:gridCol w:w="7700"/>
      </w:tblGrid>
      <w:tr w:rsidR="001B04E1" w:rsidTr="009B0DFE">
        <w:tc>
          <w:tcPr>
            <w:tcW w:w="1763" w:type="dxa"/>
            <w:tcMar>
              <w:right w:w="227" w:type="dxa"/>
            </w:tcMar>
          </w:tcPr>
          <w:p w:rsidR="001B04E1" w:rsidRDefault="001B04E1" w:rsidP="00A44022">
            <w:pPr>
              <w:pStyle w:val="LHcolumn"/>
            </w:pPr>
          </w:p>
        </w:tc>
        <w:tc>
          <w:tcPr>
            <w:tcW w:w="7700" w:type="dxa"/>
          </w:tcPr>
          <w:p w:rsidR="00994F31" w:rsidRPr="00994F31" w:rsidRDefault="00DF2008" w:rsidP="00A44022">
            <w:pPr>
              <w:rPr>
                <w:b/>
                <w:caps/>
              </w:rPr>
            </w:pPr>
            <w:r>
              <w:rPr>
                <w:noProof/>
              </w:rPr>
              <w:drawing>
                <wp:anchor distT="0" distB="0" distL="114300" distR="114300" simplePos="0" relativeHeight="251735040" behindDoc="0" locked="0" layoutInCell="1" allowOverlap="1" wp14:anchorId="0F3727B3" wp14:editId="51FABE9D">
                  <wp:simplePos x="0" y="0"/>
                  <wp:positionH relativeFrom="column">
                    <wp:posOffset>3292475</wp:posOffset>
                  </wp:positionH>
                  <wp:positionV relativeFrom="paragraph">
                    <wp:posOffset>197485</wp:posOffset>
                  </wp:positionV>
                  <wp:extent cx="1451610" cy="2163445"/>
                  <wp:effectExtent l="0" t="0" r="0"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0256_Norm-9 (colour DGL photo).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51610" cy="2163445"/>
                          </a:xfrm>
                          <a:prstGeom prst="rect">
                            <a:avLst/>
                          </a:prstGeom>
                        </pic:spPr>
                      </pic:pic>
                    </a:graphicData>
                  </a:graphic>
                  <wp14:sizeRelH relativeFrom="page">
                    <wp14:pctWidth>0</wp14:pctWidth>
                  </wp14:sizeRelH>
                  <wp14:sizeRelV relativeFrom="page">
                    <wp14:pctHeight>0</wp14:pctHeight>
                  </wp14:sizeRelV>
                </wp:anchor>
              </w:drawing>
            </w:r>
            <w:r w:rsidR="00994F31" w:rsidRPr="00994F31">
              <w:t>The Indian Ocean tsunami of December 26</w:t>
            </w:r>
            <w:r w:rsidR="00994F31" w:rsidRPr="00994F31">
              <w:rPr>
                <w:vertAlign w:val="superscript"/>
              </w:rPr>
              <w:t>th</w:t>
            </w:r>
            <w:r w:rsidR="00994F31" w:rsidRPr="00994F31">
              <w:t>, 2004 greatly raised awareness of the potential threat tsunami pose to New Zealand. Reports commissioned by the Ministry of Civil Defence &amp; Emergency Management (MCDEM) in 2005 calculated the risk to New Zealand from tsunami as similar to the risk from large earthquakes. Consequently, the science and civil defence emergency management (CDEM) sectors in New Zealand have directed greater effort to improving the understanding of New Zealand’s tsunami hazards and risks, and enhancing tsunami emergency response arrangements. The goal is increased individual and community resilience to tsunami hazards.</w:t>
            </w:r>
          </w:p>
          <w:p w:rsidR="00994F31" w:rsidRPr="00994F31" w:rsidRDefault="00994F31" w:rsidP="00A44022">
            <w:pPr>
              <w:rPr>
                <w:b/>
                <w:caps/>
              </w:rPr>
            </w:pPr>
            <w:r w:rsidRPr="00994F31">
              <w:t xml:space="preserve">The initial Tsunami Evacuation Zones guideline [DGL 08/08] was produced in 2008 </w:t>
            </w:r>
            <w:r w:rsidR="00171AC4">
              <w:t>following establishment of the N</w:t>
            </w:r>
            <w:r w:rsidRPr="00994F31">
              <w:t>ational Tsunami Working Group (TWG) in 2007. A series of workshops and regional seminars held in 2008 provided information and advice to assist with development of the guidelines.</w:t>
            </w:r>
            <w:r w:rsidR="00DF2008">
              <w:rPr>
                <w:noProof/>
              </w:rPr>
              <w:t xml:space="preserve"> </w:t>
            </w:r>
          </w:p>
          <w:p w:rsidR="00994F31" w:rsidRPr="00994F31" w:rsidRDefault="00994F31" w:rsidP="00A44022">
            <w:pPr>
              <w:rPr>
                <w:b/>
                <w:caps/>
              </w:rPr>
            </w:pPr>
            <w:r w:rsidRPr="00994F31">
              <w:t>Since 2008, ten regions across New Zealand have used the initial guideline to develop evacuation zones and maps. During this time, considerable implementation experience has been gained, and a number of implementation issues have been identified. In addition, significant new work has been completed to update and improve scientific understanding of tsunami hazards and improve tsunami warning systems and procedures.</w:t>
            </w:r>
          </w:p>
          <w:p w:rsidR="00994F31" w:rsidRPr="00994F31" w:rsidRDefault="00994F31" w:rsidP="00A44022">
            <w:pPr>
              <w:rPr>
                <w:b/>
                <w:caps/>
              </w:rPr>
            </w:pPr>
            <w:r w:rsidRPr="00994F31">
              <w:t>The 2011 Great East Japan Earthquake and Tsunami in Japan further reinforced the importance of tsunami risk management planning, and a review of tsunami hazard in New Zealand was completed in 2013. In 2014, a workshop was held in Gisborne to identify issues and challenges with regards to evacuation and land use planning, and to develop solutions and recommendations for achieving national consistency. The 2013 review of tsunami risk in New Zealand and the outcomes of the Gisborne workshop have contributed to the development of this guideline.</w:t>
            </w:r>
          </w:p>
          <w:p w:rsidR="009B0DFE" w:rsidRPr="00994F31" w:rsidRDefault="00994F31" w:rsidP="00A44022">
            <w:pPr>
              <w:rPr>
                <w:b/>
                <w:caps/>
              </w:rPr>
            </w:pPr>
            <w:r w:rsidRPr="00994F31">
              <w:t>The objective of this guideline is to support an evidence-based approach to the development of tsunami evacuation zones and maps, which is consistent across New Zealand communities. In this way we can be sure that New Zealanders, no matter where they live or work, can be better prepared.</w:t>
            </w:r>
            <w:r w:rsidR="00DF2008">
              <w:rPr>
                <w:noProof/>
              </w:rPr>
              <w:t xml:space="preserve"> </w:t>
            </w:r>
          </w:p>
        </w:tc>
      </w:tr>
      <w:tr w:rsidR="001B04E1" w:rsidTr="007C028E">
        <w:trPr>
          <w:trHeight w:val="110"/>
        </w:trPr>
        <w:tc>
          <w:tcPr>
            <w:tcW w:w="1763" w:type="dxa"/>
            <w:tcMar>
              <w:right w:w="227" w:type="dxa"/>
            </w:tcMar>
          </w:tcPr>
          <w:p w:rsidR="001B04E1" w:rsidRDefault="001B04E1" w:rsidP="00A44022">
            <w:pPr>
              <w:pStyle w:val="LHcolumn"/>
            </w:pPr>
          </w:p>
        </w:tc>
        <w:tc>
          <w:tcPr>
            <w:tcW w:w="7700" w:type="dxa"/>
          </w:tcPr>
          <w:p w:rsidR="00125B69" w:rsidRPr="001B04E1" w:rsidRDefault="007C028E" w:rsidP="00A44022">
            <w:r>
              <w:rPr>
                <w:noProof/>
              </w:rPr>
              <w:drawing>
                <wp:inline distT="0" distB="0" distL="0" distR="0" wp14:anchorId="1B6F7CE8" wp14:editId="1F178B07">
                  <wp:extent cx="1488843" cy="607897"/>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HamiltonSi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88843" cy="607897"/>
                          </a:xfrm>
                          <a:prstGeom prst="rect">
                            <a:avLst/>
                          </a:prstGeom>
                        </pic:spPr>
                      </pic:pic>
                    </a:graphicData>
                  </a:graphic>
                </wp:inline>
              </w:drawing>
            </w:r>
          </w:p>
        </w:tc>
      </w:tr>
      <w:tr w:rsidR="001B04E1" w:rsidTr="009B0DFE">
        <w:tc>
          <w:tcPr>
            <w:tcW w:w="1763" w:type="dxa"/>
            <w:tcMar>
              <w:right w:w="227" w:type="dxa"/>
            </w:tcMar>
          </w:tcPr>
          <w:p w:rsidR="001B04E1" w:rsidRDefault="001B04E1" w:rsidP="00A44022">
            <w:pPr>
              <w:pStyle w:val="LHcolumn"/>
            </w:pPr>
          </w:p>
        </w:tc>
        <w:tc>
          <w:tcPr>
            <w:tcW w:w="7700" w:type="dxa"/>
          </w:tcPr>
          <w:p w:rsidR="001B04E1" w:rsidRPr="00A44022" w:rsidRDefault="0031293A" w:rsidP="00A44022">
            <w:pPr>
              <w:rPr>
                <w:b/>
              </w:rPr>
            </w:pPr>
            <w:r w:rsidRPr="00A44022">
              <w:rPr>
                <w:b/>
              </w:rPr>
              <w:t>Sarah Stuart-Black</w:t>
            </w:r>
          </w:p>
          <w:p w:rsidR="005318CA" w:rsidRPr="001B04E1" w:rsidRDefault="001B04E1" w:rsidP="00A44022">
            <w:r w:rsidRPr="001C00FF">
              <w:t>Director</w:t>
            </w:r>
            <w:r>
              <w:t xml:space="preserve"> of Civil Defence</w:t>
            </w:r>
            <w:r w:rsidRPr="001C00FF">
              <w:t xml:space="preserve"> Emergency Management</w:t>
            </w:r>
          </w:p>
        </w:tc>
      </w:tr>
    </w:tbl>
    <w:p w:rsidR="00216348" w:rsidRDefault="00251456" w:rsidP="00A44022">
      <w:pPr>
        <w:pStyle w:val="Spacer"/>
      </w:pPr>
      <w:r>
        <w:br w:type="page"/>
      </w:r>
    </w:p>
    <w:p w:rsidR="005F4E2B" w:rsidRPr="006067C2" w:rsidRDefault="005F4E2B" w:rsidP="00A44022">
      <w:r w:rsidRPr="006067C2">
        <w:lastRenderedPageBreak/>
        <w:br w:type="page"/>
      </w:r>
    </w:p>
    <w:p w:rsidR="00111D13" w:rsidRDefault="003C4DF1" w:rsidP="00A44022">
      <w:pPr>
        <w:pStyle w:val="Titleforewordandcontents"/>
        <w:spacing w:before="120" w:after="120"/>
      </w:pPr>
      <w:r w:rsidRPr="00E46FF3">
        <w:lastRenderedPageBreak/>
        <w:t>Contents</w:t>
      </w:r>
    </w:p>
    <w:p w:rsidR="002F4803" w:rsidRDefault="00E84CE6">
      <w:pPr>
        <w:pStyle w:val="TOC1"/>
        <w:rPr>
          <w:rFonts w:asciiTheme="minorHAnsi" w:eastAsiaTheme="minorEastAsia" w:hAnsiTheme="minorHAnsi" w:cstheme="minorBidi"/>
          <w:b w:val="0"/>
          <w:bCs w:val="0"/>
          <w:iCs w:val="0"/>
          <w:szCs w:val="22"/>
          <w:lang w:eastAsia="en-NZ"/>
        </w:rPr>
      </w:pPr>
      <w:r>
        <w:fldChar w:fldCharType="begin"/>
      </w:r>
      <w:r>
        <w:instrText xml:space="preserve"> TOC \o "1-3" \h \z \u </w:instrText>
      </w:r>
      <w:r>
        <w:fldChar w:fldCharType="separate"/>
      </w:r>
      <w:hyperlink w:anchor="_Toc443381800" w:history="1">
        <w:r w:rsidR="002F4803" w:rsidRPr="0016526D">
          <w:rPr>
            <w:rStyle w:val="Hyperlink"/>
          </w:rPr>
          <w:t>Section 1 Introduction</w:t>
        </w:r>
        <w:r w:rsidR="002F4803">
          <w:rPr>
            <w:webHidden/>
          </w:rPr>
          <w:tab/>
        </w:r>
        <w:r w:rsidR="002F4803">
          <w:rPr>
            <w:webHidden/>
          </w:rPr>
          <w:fldChar w:fldCharType="begin"/>
        </w:r>
        <w:r w:rsidR="002F4803">
          <w:rPr>
            <w:webHidden/>
          </w:rPr>
          <w:instrText xml:space="preserve"> PAGEREF _Toc443381800 \h </w:instrText>
        </w:r>
        <w:r w:rsidR="002F4803">
          <w:rPr>
            <w:webHidden/>
          </w:rPr>
        </w:r>
        <w:r w:rsidR="002F4803">
          <w:rPr>
            <w:webHidden/>
          </w:rPr>
          <w:fldChar w:fldCharType="separate"/>
        </w:r>
        <w:r w:rsidR="002F4803">
          <w:rPr>
            <w:webHidden/>
          </w:rPr>
          <w:t>1</w:t>
        </w:r>
        <w:r w:rsidR="002F4803">
          <w:rPr>
            <w:webHidden/>
          </w:rPr>
          <w:fldChar w:fldCharType="end"/>
        </w:r>
      </w:hyperlink>
    </w:p>
    <w:p w:rsidR="002F4803" w:rsidRDefault="002241BA">
      <w:pPr>
        <w:pStyle w:val="TOC2"/>
        <w:rPr>
          <w:rFonts w:asciiTheme="minorHAnsi" w:eastAsiaTheme="minorEastAsia" w:hAnsiTheme="minorHAnsi" w:cstheme="minorBidi"/>
          <w:bCs w:val="0"/>
          <w:lang w:eastAsia="en-NZ"/>
        </w:rPr>
      </w:pPr>
      <w:hyperlink w:anchor="_Toc443381801" w:history="1">
        <w:r w:rsidR="002F4803" w:rsidRPr="0016526D">
          <w:rPr>
            <w:rStyle w:val="Hyperlink"/>
          </w:rPr>
          <w:t>1.1 About this guideline</w:t>
        </w:r>
        <w:r w:rsidR="002F4803">
          <w:rPr>
            <w:webHidden/>
          </w:rPr>
          <w:tab/>
        </w:r>
        <w:r w:rsidR="002F4803">
          <w:rPr>
            <w:webHidden/>
          </w:rPr>
          <w:fldChar w:fldCharType="begin"/>
        </w:r>
        <w:r w:rsidR="002F4803">
          <w:rPr>
            <w:webHidden/>
          </w:rPr>
          <w:instrText xml:space="preserve"> PAGEREF _Toc443381801 \h </w:instrText>
        </w:r>
        <w:r w:rsidR="002F4803">
          <w:rPr>
            <w:webHidden/>
          </w:rPr>
        </w:r>
        <w:r w:rsidR="002F4803">
          <w:rPr>
            <w:webHidden/>
          </w:rPr>
          <w:fldChar w:fldCharType="separate"/>
        </w:r>
        <w:r w:rsidR="002F4803">
          <w:rPr>
            <w:webHidden/>
          </w:rPr>
          <w:t>1</w:t>
        </w:r>
        <w:r w:rsidR="002F4803">
          <w:rPr>
            <w:webHidden/>
          </w:rPr>
          <w:fldChar w:fldCharType="end"/>
        </w:r>
      </w:hyperlink>
    </w:p>
    <w:p w:rsidR="002F4803" w:rsidRDefault="002241BA">
      <w:pPr>
        <w:pStyle w:val="TOC2"/>
        <w:rPr>
          <w:rFonts w:asciiTheme="minorHAnsi" w:eastAsiaTheme="minorEastAsia" w:hAnsiTheme="minorHAnsi" w:cstheme="minorBidi"/>
          <w:bCs w:val="0"/>
          <w:lang w:eastAsia="en-NZ"/>
        </w:rPr>
      </w:pPr>
      <w:hyperlink w:anchor="_Toc443381802" w:history="1">
        <w:r w:rsidR="002F4803" w:rsidRPr="0016526D">
          <w:rPr>
            <w:rStyle w:val="Hyperlink"/>
          </w:rPr>
          <w:t>1.2 Key terms</w:t>
        </w:r>
        <w:r w:rsidR="002F4803">
          <w:rPr>
            <w:webHidden/>
          </w:rPr>
          <w:tab/>
        </w:r>
        <w:r w:rsidR="002F4803">
          <w:rPr>
            <w:webHidden/>
          </w:rPr>
          <w:fldChar w:fldCharType="begin"/>
        </w:r>
        <w:r w:rsidR="002F4803">
          <w:rPr>
            <w:webHidden/>
          </w:rPr>
          <w:instrText xml:space="preserve"> PAGEREF _Toc443381802 \h </w:instrText>
        </w:r>
        <w:r w:rsidR="002F4803">
          <w:rPr>
            <w:webHidden/>
          </w:rPr>
        </w:r>
        <w:r w:rsidR="002F4803">
          <w:rPr>
            <w:webHidden/>
          </w:rPr>
          <w:fldChar w:fldCharType="separate"/>
        </w:r>
        <w:r w:rsidR="002F4803">
          <w:rPr>
            <w:webHidden/>
          </w:rPr>
          <w:t>3</w:t>
        </w:r>
        <w:r w:rsidR="002F4803">
          <w:rPr>
            <w:webHidden/>
          </w:rPr>
          <w:fldChar w:fldCharType="end"/>
        </w:r>
      </w:hyperlink>
    </w:p>
    <w:p w:rsidR="002F4803" w:rsidRDefault="002241BA">
      <w:pPr>
        <w:pStyle w:val="TOC1"/>
        <w:rPr>
          <w:rFonts w:asciiTheme="minorHAnsi" w:eastAsiaTheme="minorEastAsia" w:hAnsiTheme="minorHAnsi" w:cstheme="minorBidi"/>
          <w:b w:val="0"/>
          <w:bCs w:val="0"/>
          <w:iCs w:val="0"/>
          <w:szCs w:val="22"/>
          <w:lang w:eastAsia="en-NZ"/>
        </w:rPr>
      </w:pPr>
      <w:hyperlink w:anchor="_Toc443381803" w:history="1">
        <w:r w:rsidR="002F4803" w:rsidRPr="0016526D">
          <w:rPr>
            <w:rStyle w:val="Hyperlink"/>
          </w:rPr>
          <w:t>Section 2 Background</w:t>
        </w:r>
        <w:r w:rsidR="002F4803">
          <w:rPr>
            <w:webHidden/>
          </w:rPr>
          <w:tab/>
        </w:r>
        <w:r w:rsidR="002F4803">
          <w:rPr>
            <w:webHidden/>
          </w:rPr>
          <w:fldChar w:fldCharType="begin"/>
        </w:r>
        <w:r w:rsidR="002F4803">
          <w:rPr>
            <w:webHidden/>
          </w:rPr>
          <w:instrText xml:space="preserve"> PAGEREF _Toc443381803 \h </w:instrText>
        </w:r>
        <w:r w:rsidR="002F4803">
          <w:rPr>
            <w:webHidden/>
          </w:rPr>
        </w:r>
        <w:r w:rsidR="002F4803">
          <w:rPr>
            <w:webHidden/>
          </w:rPr>
          <w:fldChar w:fldCharType="separate"/>
        </w:r>
        <w:r w:rsidR="002F4803">
          <w:rPr>
            <w:webHidden/>
          </w:rPr>
          <w:t>7</w:t>
        </w:r>
        <w:r w:rsidR="002F4803">
          <w:rPr>
            <w:webHidden/>
          </w:rPr>
          <w:fldChar w:fldCharType="end"/>
        </w:r>
      </w:hyperlink>
    </w:p>
    <w:p w:rsidR="002F4803" w:rsidRDefault="002241BA">
      <w:pPr>
        <w:pStyle w:val="TOC2"/>
        <w:rPr>
          <w:rFonts w:asciiTheme="minorHAnsi" w:eastAsiaTheme="minorEastAsia" w:hAnsiTheme="minorHAnsi" w:cstheme="minorBidi"/>
          <w:bCs w:val="0"/>
          <w:lang w:eastAsia="en-NZ"/>
        </w:rPr>
      </w:pPr>
      <w:hyperlink w:anchor="_Toc443381804" w:history="1">
        <w:r w:rsidR="002F4803" w:rsidRPr="0016526D">
          <w:rPr>
            <w:rStyle w:val="Hyperlink"/>
          </w:rPr>
          <w:t>2.1 Purpose of evacuation in tsunami risk management</w:t>
        </w:r>
        <w:r w:rsidR="002F4803">
          <w:rPr>
            <w:webHidden/>
          </w:rPr>
          <w:tab/>
        </w:r>
        <w:r w:rsidR="002F4803">
          <w:rPr>
            <w:webHidden/>
          </w:rPr>
          <w:fldChar w:fldCharType="begin"/>
        </w:r>
        <w:r w:rsidR="002F4803">
          <w:rPr>
            <w:webHidden/>
          </w:rPr>
          <w:instrText xml:space="preserve"> PAGEREF _Toc443381804 \h </w:instrText>
        </w:r>
        <w:r w:rsidR="002F4803">
          <w:rPr>
            <w:webHidden/>
          </w:rPr>
        </w:r>
        <w:r w:rsidR="002F4803">
          <w:rPr>
            <w:webHidden/>
          </w:rPr>
          <w:fldChar w:fldCharType="separate"/>
        </w:r>
        <w:r w:rsidR="002F4803">
          <w:rPr>
            <w:webHidden/>
          </w:rPr>
          <w:t>8</w:t>
        </w:r>
        <w:r w:rsidR="002F4803">
          <w:rPr>
            <w:webHidden/>
          </w:rPr>
          <w:fldChar w:fldCharType="end"/>
        </w:r>
      </w:hyperlink>
    </w:p>
    <w:p w:rsidR="002F4803" w:rsidRDefault="002241BA">
      <w:pPr>
        <w:pStyle w:val="TOC1"/>
        <w:rPr>
          <w:rFonts w:asciiTheme="minorHAnsi" w:eastAsiaTheme="minorEastAsia" w:hAnsiTheme="minorHAnsi" w:cstheme="minorBidi"/>
          <w:b w:val="0"/>
          <w:bCs w:val="0"/>
          <w:iCs w:val="0"/>
          <w:szCs w:val="22"/>
          <w:lang w:eastAsia="en-NZ"/>
        </w:rPr>
      </w:pPr>
      <w:hyperlink w:anchor="_Toc443381805" w:history="1">
        <w:r w:rsidR="002F4803" w:rsidRPr="0016526D">
          <w:rPr>
            <w:rStyle w:val="Hyperlink"/>
          </w:rPr>
          <w:t>Section 3 Tsunami basics</w:t>
        </w:r>
        <w:r w:rsidR="002F4803">
          <w:rPr>
            <w:webHidden/>
          </w:rPr>
          <w:tab/>
        </w:r>
        <w:r w:rsidR="002F4803">
          <w:rPr>
            <w:webHidden/>
          </w:rPr>
          <w:fldChar w:fldCharType="begin"/>
        </w:r>
        <w:r w:rsidR="002F4803">
          <w:rPr>
            <w:webHidden/>
          </w:rPr>
          <w:instrText xml:space="preserve"> PAGEREF _Toc443381805 \h </w:instrText>
        </w:r>
        <w:r w:rsidR="002F4803">
          <w:rPr>
            <w:webHidden/>
          </w:rPr>
        </w:r>
        <w:r w:rsidR="002F4803">
          <w:rPr>
            <w:webHidden/>
          </w:rPr>
          <w:fldChar w:fldCharType="separate"/>
        </w:r>
        <w:r w:rsidR="002F4803">
          <w:rPr>
            <w:webHidden/>
          </w:rPr>
          <w:t>9</w:t>
        </w:r>
        <w:r w:rsidR="002F4803">
          <w:rPr>
            <w:webHidden/>
          </w:rPr>
          <w:fldChar w:fldCharType="end"/>
        </w:r>
      </w:hyperlink>
    </w:p>
    <w:p w:rsidR="002F4803" w:rsidRDefault="002241BA">
      <w:pPr>
        <w:pStyle w:val="TOC2"/>
        <w:rPr>
          <w:rFonts w:asciiTheme="minorHAnsi" w:eastAsiaTheme="minorEastAsia" w:hAnsiTheme="minorHAnsi" w:cstheme="minorBidi"/>
          <w:bCs w:val="0"/>
          <w:lang w:eastAsia="en-NZ"/>
        </w:rPr>
      </w:pPr>
      <w:hyperlink w:anchor="_Toc443381806" w:history="1">
        <w:r w:rsidR="002F4803" w:rsidRPr="0016526D">
          <w:rPr>
            <w:rStyle w:val="Hyperlink"/>
          </w:rPr>
          <w:t>3.1 Tsunami generation</w:t>
        </w:r>
        <w:r w:rsidR="002F4803">
          <w:rPr>
            <w:webHidden/>
          </w:rPr>
          <w:tab/>
        </w:r>
        <w:r w:rsidR="002F4803">
          <w:rPr>
            <w:webHidden/>
          </w:rPr>
          <w:fldChar w:fldCharType="begin"/>
        </w:r>
        <w:r w:rsidR="002F4803">
          <w:rPr>
            <w:webHidden/>
          </w:rPr>
          <w:instrText xml:space="preserve"> PAGEREF _Toc443381806 \h </w:instrText>
        </w:r>
        <w:r w:rsidR="002F4803">
          <w:rPr>
            <w:webHidden/>
          </w:rPr>
        </w:r>
        <w:r w:rsidR="002F4803">
          <w:rPr>
            <w:webHidden/>
          </w:rPr>
          <w:fldChar w:fldCharType="separate"/>
        </w:r>
        <w:r w:rsidR="002F4803">
          <w:rPr>
            <w:webHidden/>
          </w:rPr>
          <w:t>9</w:t>
        </w:r>
        <w:r w:rsidR="002F4803">
          <w:rPr>
            <w:webHidden/>
          </w:rPr>
          <w:fldChar w:fldCharType="end"/>
        </w:r>
      </w:hyperlink>
    </w:p>
    <w:p w:rsidR="002F4803" w:rsidRDefault="002241BA">
      <w:pPr>
        <w:pStyle w:val="TOC1"/>
        <w:rPr>
          <w:rFonts w:asciiTheme="minorHAnsi" w:eastAsiaTheme="minorEastAsia" w:hAnsiTheme="minorHAnsi" w:cstheme="minorBidi"/>
          <w:b w:val="0"/>
          <w:bCs w:val="0"/>
          <w:iCs w:val="0"/>
          <w:szCs w:val="22"/>
          <w:lang w:eastAsia="en-NZ"/>
        </w:rPr>
      </w:pPr>
      <w:hyperlink w:anchor="_Toc443381807" w:history="1">
        <w:r w:rsidR="002F4803" w:rsidRPr="0016526D">
          <w:rPr>
            <w:rStyle w:val="Hyperlink"/>
          </w:rPr>
          <w:t>Section 4 Tsunami evacuation zones</w:t>
        </w:r>
        <w:r w:rsidR="002F4803">
          <w:rPr>
            <w:webHidden/>
          </w:rPr>
          <w:tab/>
        </w:r>
        <w:r w:rsidR="002F4803">
          <w:rPr>
            <w:webHidden/>
          </w:rPr>
          <w:fldChar w:fldCharType="begin"/>
        </w:r>
        <w:r w:rsidR="002F4803">
          <w:rPr>
            <w:webHidden/>
          </w:rPr>
          <w:instrText xml:space="preserve"> PAGEREF _Toc443381807 \h </w:instrText>
        </w:r>
        <w:r w:rsidR="002F4803">
          <w:rPr>
            <w:webHidden/>
          </w:rPr>
        </w:r>
        <w:r w:rsidR="002F4803">
          <w:rPr>
            <w:webHidden/>
          </w:rPr>
          <w:fldChar w:fldCharType="separate"/>
        </w:r>
        <w:r w:rsidR="002F4803">
          <w:rPr>
            <w:webHidden/>
          </w:rPr>
          <w:t>11</w:t>
        </w:r>
        <w:r w:rsidR="002F4803">
          <w:rPr>
            <w:webHidden/>
          </w:rPr>
          <w:fldChar w:fldCharType="end"/>
        </w:r>
      </w:hyperlink>
    </w:p>
    <w:p w:rsidR="002F4803" w:rsidRDefault="002241BA">
      <w:pPr>
        <w:pStyle w:val="TOC2"/>
        <w:rPr>
          <w:rFonts w:asciiTheme="minorHAnsi" w:eastAsiaTheme="minorEastAsia" w:hAnsiTheme="minorHAnsi" w:cstheme="minorBidi"/>
          <w:bCs w:val="0"/>
          <w:lang w:eastAsia="en-NZ"/>
        </w:rPr>
      </w:pPr>
      <w:hyperlink w:anchor="_Toc443381808" w:history="1">
        <w:r w:rsidR="002F4803" w:rsidRPr="0016526D">
          <w:rPr>
            <w:rStyle w:val="Hyperlink"/>
          </w:rPr>
          <w:t>4.1 Optimum and recommended number of tsunami evacuation zones</w:t>
        </w:r>
        <w:r w:rsidR="002F4803">
          <w:rPr>
            <w:webHidden/>
          </w:rPr>
          <w:tab/>
        </w:r>
        <w:r w:rsidR="002F4803">
          <w:rPr>
            <w:webHidden/>
          </w:rPr>
          <w:fldChar w:fldCharType="begin"/>
        </w:r>
        <w:r w:rsidR="002F4803">
          <w:rPr>
            <w:webHidden/>
          </w:rPr>
          <w:instrText xml:space="preserve"> PAGEREF _Toc443381808 \h </w:instrText>
        </w:r>
        <w:r w:rsidR="002F4803">
          <w:rPr>
            <w:webHidden/>
          </w:rPr>
        </w:r>
        <w:r w:rsidR="002F4803">
          <w:rPr>
            <w:webHidden/>
          </w:rPr>
          <w:fldChar w:fldCharType="separate"/>
        </w:r>
        <w:r w:rsidR="002F4803">
          <w:rPr>
            <w:webHidden/>
          </w:rPr>
          <w:t>11</w:t>
        </w:r>
        <w:r w:rsidR="002F4803">
          <w:rPr>
            <w:webHidden/>
          </w:rPr>
          <w:fldChar w:fldCharType="end"/>
        </w:r>
      </w:hyperlink>
    </w:p>
    <w:p w:rsidR="002F4803" w:rsidRDefault="002241BA">
      <w:pPr>
        <w:pStyle w:val="TOC2"/>
        <w:rPr>
          <w:rFonts w:asciiTheme="minorHAnsi" w:eastAsiaTheme="minorEastAsia" w:hAnsiTheme="minorHAnsi" w:cstheme="minorBidi"/>
          <w:bCs w:val="0"/>
          <w:lang w:eastAsia="en-NZ"/>
        </w:rPr>
      </w:pPr>
      <w:hyperlink w:anchor="_Toc443381809" w:history="1">
        <w:r w:rsidR="002F4803" w:rsidRPr="0016526D">
          <w:rPr>
            <w:rStyle w:val="Hyperlink"/>
          </w:rPr>
          <w:t>4.2 Establishing and defining evacuation zone boundaries</w:t>
        </w:r>
        <w:r w:rsidR="002F4803">
          <w:rPr>
            <w:webHidden/>
          </w:rPr>
          <w:tab/>
        </w:r>
        <w:r w:rsidR="002F4803">
          <w:rPr>
            <w:webHidden/>
          </w:rPr>
          <w:fldChar w:fldCharType="begin"/>
        </w:r>
        <w:r w:rsidR="002F4803">
          <w:rPr>
            <w:webHidden/>
          </w:rPr>
          <w:instrText xml:space="preserve"> PAGEREF _Toc443381809 \h </w:instrText>
        </w:r>
        <w:r w:rsidR="002F4803">
          <w:rPr>
            <w:webHidden/>
          </w:rPr>
        </w:r>
        <w:r w:rsidR="002F4803">
          <w:rPr>
            <w:webHidden/>
          </w:rPr>
          <w:fldChar w:fldCharType="separate"/>
        </w:r>
        <w:r w:rsidR="002F4803">
          <w:rPr>
            <w:webHidden/>
          </w:rPr>
          <w:t>13</w:t>
        </w:r>
        <w:r w:rsidR="002F4803">
          <w:rPr>
            <w:webHidden/>
          </w:rPr>
          <w:fldChar w:fldCharType="end"/>
        </w:r>
      </w:hyperlink>
    </w:p>
    <w:p w:rsidR="002F4803" w:rsidRDefault="002241BA">
      <w:pPr>
        <w:pStyle w:val="TOC3"/>
        <w:rPr>
          <w:rFonts w:asciiTheme="minorHAnsi" w:eastAsiaTheme="minorEastAsia" w:hAnsiTheme="minorHAnsi" w:cstheme="minorBidi"/>
          <w:szCs w:val="22"/>
          <w:lang w:eastAsia="en-NZ"/>
        </w:rPr>
      </w:pPr>
      <w:hyperlink w:anchor="_Toc443381810" w:history="1">
        <w:r w:rsidR="002F4803" w:rsidRPr="0016526D">
          <w:rPr>
            <w:rStyle w:val="Hyperlink"/>
          </w:rPr>
          <w:t>4.2.1 Developmental levels for modelling</w:t>
        </w:r>
        <w:r w:rsidR="002F4803">
          <w:rPr>
            <w:webHidden/>
          </w:rPr>
          <w:tab/>
        </w:r>
        <w:r w:rsidR="002F4803">
          <w:rPr>
            <w:webHidden/>
          </w:rPr>
          <w:fldChar w:fldCharType="begin"/>
        </w:r>
        <w:r w:rsidR="002F4803">
          <w:rPr>
            <w:webHidden/>
          </w:rPr>
          <w:instrText xml:space="preserve"> PAGEREF _Toc443381810 \h </w:instrText>
        </w:r>
        <w:r w:rsidR="002F4803">
          <w:rPr>
            <w:webHidden/>
          </w:rPr>
        </w:r>
        <w:r w:rsidR="002F4803">
          <w:rPr>
            <w:webHidden/>
          </w:rPr>
          <w:fldChar w:fldCharType="separate"/>
        </w:r>
        <w:r w:rsidR="002F4803">
          <w:rPr>
            <w:webHidden/>
          </w:rPr>
          <w:t>13</w:t>
        </w:r>
        <w:r w:rsidR="002F4803">
          <w:rPr>
            <w:webHidden/>
          </w:rPr>
          <w:fldChar w:fldCharType="end"/>
        </w:r>
      </w:hyperlink>
    </w:p>
    <w:p w:rsidR="002F4803" w:rsidRDefault="002241BA">
      <w:pPr>
        <w:pStyle w:val="TOC3"/>
        <w:rPr>
          <w:rFonts w:asciiTheme="minorHAnsi" w:eastAsiaTheme="minorEastAsia" w:hAnsiTheme="minorHAnsi" w:cstheme="minorBidi"/>
          <w:szCs w:val="22"/>
          <w:lang w:eastAsia="en-NZ"/>
        </w:rPr>
      </w:pPr>
      <w:hyperlink w:anchor="_Toc443381811" w:history="1">
        <w:r w:rsidR="002F4803" w:rsidRPr="0016526D">
          <w:rPr>
            <w:rStyle w:val="Hyperlink"/>
          </w:rPr>
          <w:t>4.2.2 Source data and defining zone boundaries</w:t>
        </w:r>
        <w:r w:rsidR="002F4803">
          <w:rPr>
            <w:webHidden/>
          </w:rPr>
          <w:tab/>
        </w:r>
        <w:r w:rsidR="002F4803">
          <w:rPr>
            <w:webHidden/>
          </w:rPr>
          <w:fldChar w:fldCharType="begin"/>
        </w:r>
        <w:r w:rsidR="002F4803">
          <w:rPr>
            <w:webHidden/>
          </w:rPr>
          <w:instrText xml:space="preserve"> PAGEREF _Toc443381811 \h </w:instrText>
        </w:r>
        <w:r w:rsidR="002F4803">
          <w:rPr>
            <w:webHidden/>
          </w:rPr>
        </w:r>
        <w:r w:rsidR="002F4803">
          <w:rPr>
            <w:webHidden/>
          </w:rPr>
          <w:fldChar w:fldCharType="separate"/>
        </w:r>
        <w:r w:rsidR="002F4803">
          <w:rPr>
            <w:webHidden/>
          </w:rPr>
          <w:t>16</w:t>
        </w:r>
        <w:r w:rsidR="002F4803">
          <w:rPr>
            <w:webHidden/>
          </w:rPr>
          <w:fldChar w:fldCharType="end"/>
        </w:r>
      </w:hyperlink>
    </w:p>
    <w:p w:rsidR="002F4803" w:rsidRDefault="002241BA">
      <w:pPr>
        <w:pStyle w:val="TOC3"/>
        <w:rPr>
          <w:rFonts w:asciiTheme="minorHAnsi" w:eastAsiaTheme="minorEastAsia" w:hAnsiTheme="minorHAnsi" w:cstheme="minorBidi"/>
          <w:szCs w:val="22"/>
          <w:lang w:eastAsia="en-NZ"/>
        </w:rPr>
      </w:pPr>
      <w:hyperlink w:anchor="_Toc443381812" w:history="1">
        <w:r w:rsidR="002F4803" w:rsidRPr="0016526D">
          <w:rPr>
            <w:rStyle w:val="Hyperlink"/>
          </w:rPr>
          <w:t>4.2.3 Maritime</w:t>
        </w:r>
        <w:r w:rsidR="002F4803">
          <w:rPr>
            <w:webHidden/>
          </w:rPr>
          <w:tab/>
        </w:r>
        <w:r w:rsidR="002F4803">
          <w:rPr>
            <w:webHidden/>
          </w:rPr>
          <w:fldChar w:fldCharType="begin"/>
        </w:r>
        <w:r w:rsidR="002F4803">
          <w:rPr>
            <w:webHidden/>
          </w:rPr>
          <w:instrText xml:space="preserve"> PAGEREF _Toc443381812 \h </w:instrText>
        </w:r>
        <w:r w:rsidR="002F4803">
          <w:rPr>
            <w:webHidden/>
          </w:rPr>
        </w:r>
        <w:r w:rsidR="002F4803">
          <w:rPr>
            <w:webHidden/>
          </w:rPr>
          <w:fldChar w:fldCharType="separate"/>
        </w:r>
        <w:r w:rsidR="002F4803">
          <w:rPr>
            <w:webHidden/>
          </w:rPr>
          <w:t>18</w:t>
        </w:r>
        <w:r w:rsidR="002F4803">
          <w:rPr>
            <w:webHidden/>
          </w:rPr>
          <w:fldChar w:fldCharType="end"/>
        </w:r>
      </w:hyperlink>
    </w:p>
    <w:p w:rsidR="002F4803" w:rsidRDefault="002241BA">
      <w:pPr>
        <w:pStyle w:val="TOC3"/>
        <w:rPr>
          <w:rFonts w:asciiTheme="minorHAnsi" w:eastAsiaTheme="minorEastAsia" w:hAnsiTheme="minorHAnsi" w:cstheme="minorBidi"/>
          <w:szCs w:val="22"/>
          <w:lang w:eastAsia="en-NZ"/>
        </w:rPr>
      </w:pPr>
      <w:hyperlink w:anchor="_Toc443381813" w:history="1">
        <w:r w:rsidR="002F4803" w:rsidRPr="0016526D">
          <w:rPr>
            <w:rStyle w:val="Hyperlink"/>
          </w:rPr>
          <w:t>4.2.4 Probabilistic data</w:t>
        </w:r>
        <w:r w:rsidR="002F4803">
          <w:rPr>
            <w:webHidden/>
          </w:rPr>
          <w:tab/>
        </w:r>
        <w:r w:rsidR="002F4803">
          <w:rPr>
            <w:webHidden/>
          </w:rPr>
          <w:fldChar w:fldCharType="begin"/>
        </w:r>
        <w:r w:rsidR="002F4803">
          <w:rPr>
            <w:webHidden/>
          </w:rPr>
          <w:instrText xml:space="preserve"> PAGEREF _Toc443381813 \h </w:instrText>
        </w:r>
        <w:r w:rsidR="002F4803">
          <w:rPr>
            <w:webHidden/>
          </w:rPr>
        </w:r>
        <w:r w:rsidR="002F4803">
          <w:rPr>
            <w:webHidden/>
          </w:rPr>
          <w:fldChar w:fldCharType="separate"/>
        </w:r>
        <w:r w:rsidR="002F4803">
          <w:rPr>
            <w:webHidden/>
          </w:rPr>
          <w:t>18</w:t>
        </w:r>
        <w:r w:rsidR="002F4803">
          <w:rPr>
            <w:webHidden/>
          </w:rPr>
          <w:fldChar w:fldCharType="end"/>
        </w:r>
      </w:hyperlink>
    </w:p>
    <w:p w:rsidR="002F4803" w:rsidRDefault="002241BA">
      <w:pPr>
        <w:pStyle w:val="TOC2"/>
        <w:rPr>
          <w:rFonts w:asciiTheme="minorHAnsi" w:eastAsiaTheme="minorEastAsia" w:hAnsiTheme="minorHAnsi" w:cstheme="minorBidi"/>
          <w:bCs w:val="0"/>
          <w:lang w:eastAsia="en-NZ"/>
        </w:rPr>
      </w:pPr>
      <w:hyperlink w:anchor="_Toc443381814" w:history="1">
        <w:r w:rsidR="002F4803" w:rsidRPr="0016526D">
          <w:rPr>
            <w:rStyle w:val="Hyperlink"/>
          </w:rPr>
          <w:t>4.3 Minimum mapping standard and improving zone boundaries over time</w:t>
        </w:r>
        <w:r w:rsidR="002F4803">
          <w:rPr>
            <w:webHidden/>
          </w:rPr>
          <w:tab/>
        </w:r>
        <w:r w:rsidR="002F4803">
          <w:rPr>
            <w:webHidden/>
          </w:rPr>
          <w:fldChar w:fldCharType="begin"/>
        </w:r>
        <w:r w:rsidR="002F4803">
          <w:rPr>
            <w:webHidden/>
          </w:rPr>
          <w:instrText xml:space="preserve"> PAGEREF _Toc443381814 \h </w:instrText>
        </w:r>
        <w:r w:rsidR="002F4803">
          <w:rPr>
            <w:webHidden/>
          </w:rPr>
        </w:r>
        <w:r w:rsidR="002F4803">
          <w:rPr>
            <w:webHidden/>
          </w:rPr>
          <w:fldChar w:fldCharType="separate"/>
        </w:r>
        <w:r w:rsidR="002F4803">
          <w:rPr>
            <w:webHidden/>
          </w:rPr>
          <w:t>18</w:t>
        </w:r>
        <w:r w:rsidR="002F4803">
          <w:rPr>
            <w:webHidden/>
          </w:rPr>
          <w:fldChar w:fldCharType="end"/>
        </w:r>
      </w:hyperlink>
    </w:p>
    <w:p w:rsidR="002F4803" w:rsidRDefault="002241BA">
      <w:pPr>
        <w:pStyle w:val="TOC3"/>
        <w:rPr>
          <w:rFonts w:asciiTheme="minorHAnsi" w:eastAsiaTheme="minorEastAsia" w:hAnsiTheme="minorHAnsi" w:cstheme="minorBidi"/>
          <w:szCs w:val="22"/>
          <w:lang w:eastAsia="en-NZ"/>
        </w:rPr>
      </w:pPr>
      <w:hyperlink w:anchor="_Toc443381815" w:history="1">
        <w:r w:rsidR="002F4803" w:rsidRPr="0016526D">
          <w:rPr>
            <w:rStyle w:val="Hyperlink"/>
          </w:rPr>
          <w:t>4.3.1 Land use planning</w:t>
        </w:r>
        <w:r w:rsidR="002F4803">
          <w:rPr>
            <w:webHidden/>
          </w:rPr>
          <w:tab/>
        </w:r>
        <w:r w:rsidR="002F4803">
          <w:rPr>
            <w:webHidden/>
          </w:rPr>
          <w:fldChar w:fldCharType="begin"/>
        </w:r>
        <w:r w:rsidR="002F4803">
          <w:rPr>
            <w:webHidden/>
          </w:rPr>
          <w:instrText xml:space="preserve"> PAGEREF _Toc443381815 \h </w:instrText>
        </w:r>
        <w:r w:rsidR="002F4803">
          <w:rPr>
            <w:webHidden/>
          </w:rPr>
        </w:r>
        <w:r w:rsidR="002F4803">
          <w:rPr>
            <w:webHidden/>
          </w:rPr>
          <w:fldChar w:fldCharType="separate"/>
        </w:r>
        <w:r w:rsidR="002F4803">
          <w:rPr>
            <w:webHidden/>
          </w:rPr>
          <w:t>19</w:t>
        </w:r>
        <w:r w:rsidR="002F4803">
          <w:rPr>
            <w:webHidden/>
          </w:rPr>
          <w:fldChar w:fldCharType="end"/>
        </w:r>
      </w:hyperlink>
    </w:p>
    <w:p w:rsidR="002F4803" w:rsidRDefault="002241BA">
      <w:pPr>
        <w:pStyle w:val="TOC2"/>
        <w:rPr>
          <w:rFonts w:asciiTheme="minorHAnsi" w:eastAsiaTheme="minorEastAsia" w:hAnsiTheme="minorHAnsi" w:cstheme="minorBidi"/>
          <w:bCs w:val="0"/>
          <w:lang w:eastAsia="en-NZ"/>
        </w:rPr>
      </w:pPr>
      <w:hyperlink w:anchor="_Toc443381816" w:history="1">
        <w:r w:rsidR="002F4803" w:rsidRPr="0016526D">
          <w:rPr>
            <w:rStyle w:val="Hyperlink"/>
          </w:rPr>
          <w:t>4.4 Accommodating existing hazard or evacuation zone information</w:t>
        </w:r>
        <w:r w:rsidR="002F4803">
          <w:rPr>
            <w:webHidden/>
          </w:rPr>
          <w:tab/>
        </w:r>
        <w:r w:rsidR="002F4803">
          <w:rPr>
            <w:webHidden/>
          </w:rPr>
          <w:fldChar w:fldCharType="begin"/>
        </w:r>
        <w:r w:rsidR="002F4803">
          <w:rPr>
            <w:webHidden/>
          </w:rPr>
          <w:instrText xml:space="preserve"> PAGEREF _Toc443381816 \h </w:instrText>
        </w:r>
        <w:r w:rsidR="002F4803">
          <w:rPr>
            <w:webHidden/>
          </w:rPr>
        </w:r>
        <w:r w:rsidR="002F4803">
          <w:rPr>
            <w:webHidden/>
          </w:rPr>
          <w:fldChar w:fldCharType="separate"/>
        </w:r>
        <w:r w:rsidR="002F4803">
          <w:rPr>
            <w:webHidden/>
          </w:rPr>
          <w:t>19</w:t>
        </w:r>
        <w:r w:rsidR="002F4803">
          <w:rPr>
            <w:webHidden/>
          </w:rPr>
          <w:fldChar w:fldCharType="end"/>
        </w:r>
      </w:hyperlink>
    </w:p>
    <w:p w:rsidR="002F4803" w:rsidRDefault="002241BA">
      <w:pPr>
        <w:pStyle w:val="TOC2"/>
        <w:rPr>
          <w:rFonts w:asciiTheme="minorHAnsi" w:eastAsiaTheme="minorEastAsia" w:hAnsiTheme="minorHAnsi" w:cstheme="minorBidi"/>
          <w:bCs w:val="0"/>
          <w:lang w:eastAsia="en-NZ"/>
        </w:rPr>
      </w:pPr>
      <w:hyperlink w:anchor="_Toc443381817" w:history="1">
        <w:r w:rsidR="002F4803" w:rsidRPr="0016526D">
          <w:rPr>
            <w:rStyle w:val="Hyperlink"/>
          </w:rPr>
          <w:t>4.5 Wave amplitude and sea level</w:t>
        </w:r>
        <w:r w:rsidR="002F4803">
          <w:rPr>
            <w:webHidden/>
          </w:rPr>
          <w:tab/>
        </w:r>
        <w:r w:rsidR="002F4803">
          <w:rPr>
            <w:webHidden/>
          </w:rPr>
          <w:fldChar w:fldCharType="begin"/>
        </w:r>
        <w:r w:rsidR="002F4803">
          <w:rPr>
            <w:webHidden/>
          </w:rPr>
          <w:instrText xml:space="preserve"> PAGEREF _Toc443381817 \h </w:instrText>
        </w:r>
        <w:r w:rsidR="002F4803">
          <w:rPr>
            <w:webHidden/>
          </w:rPr>
        </w:r>
        <w:r w:rsidR="002F4803">
          <w:rPr>
            <w:webHidden/>
          </w:rPr>
          <w:fldChar w:fldCharType="separate"/>
        </w:r>
        <w:r w:rsidR="002F4803">
          <w:rPr>
            <w:webHidden/>
          </w:rPr>
          <w:t>20</w:t>
        </w:r>
        <w:r w:rsidR="002F4803">
          <w:rPr>
            <w:webHidden/>
          </w:rPr>
          <w:fldChar w:fldCharType="end"/>
        </w:r>
      </w:hyperlink>
    </w:p>
    <w:p w:rsidR="002F4803" w:rsidRDefault="002241BA">
      <w:pPr>
        <w:pStyle w:val="TOC2"/>
        <w:rPr>
          <w:rFonts w:asciiTheme="minorHAnsi" w:eastAsiaTheme="minorEastAsia" w:hAnsiTheme="minorHAnsi" w:cstheme="minorBidi"/>
          <w:bCs w:val="0"/>
          <w:lang w:eastAsia="en-NZ"/>
        </w:rPr>
      </w:pPr>
      <w:hyperlink w:anchor="_Toc443381818" w:history="1">
        <w:r w:rsidR="002F4803" w:rsidRPr="0016526D">
          <w:rPr>
            <w:rStyle w:val="Hyperlink"/>
          </w:rPr>
          <w:t>4.6 Vertical evacuation</w:t>
        </w:r>
        <w:r w:rsidR="002F4803">
          <w:rPr>
            <w:webHidden/>
          </w:rPr>
          <w:tab/>
        </w:r>
        <w:r w:rsidR="002F4803">
          <w:rPr>
            <w:webHidden/>
          </w:rPr>
          <w:fldChar w:fldCharType="begin"/>
        </w:r>
        <w:r w:rsidR="002F4803">
          <w:rPr>
            <w:webHidden/>
          </w:rPr>
          <w:instrText xml:space="preserve"> PAGEREF _Toc443381818 \h </w:instrText>
        </w:r>
        <w:r w:rsidR="002F4803">
          <w:rPr>
            <w:webHidden/>
          </w:rPr>
        </w:r>
        <w:r w:rsidR="002F4803">
          <w:rPr>
            <w:webHidden/>
          </w:rPr>
          <w:fldChar w:fldCharType="separate"/>
        </w:r>
        <w:r w:rsidR="002F4803">
          <w:rPr>
            <w:webHidden/>
          </w:rPr>
          <w:t>20</w:t>
        </w:r>
        <w:r w:rsidR="002F4803">
          <w:rPr>
            <w:webHidden/>
          </w:rPr>
          <w:fldChar w:fldCharType="end"/>
        </w:r>
      </w:hyperlink>
    </w:p>
    <w:p w:rsidR="002F4803" w:rsidRDefault="002241BA">
      <w:pPr>
        <w:pStyle w:val="TOC1"/>
        <w:rPr>
          <w:rFonts w:asciiTheme="minorHAnsi" w:eastAsiaTheme="minorEastAsia" w:hAnsiTheme="minorHAnsi" w:cstheme="minorBidi"/>
          <w:b w:val="0"/>
          <w:bCs w:val="0"/>
          <w:iCs w:val="0"/>
          <w:szCs w:val="22"/>
          <w:lang w:eastAsia="en-NZ"/>
        </w:rPr>
      </w:pPr>
      <w:hyperlink w:anchor="_Toc443381819" w:history="1">
        <w:r w:rsidR="002F4803" w:rsidRPr="0016526D">
          <w:rPr>
            <w:rStyle w:val="Hyperlink"/>
          </w:rPr>
          <w:t>Section 5 Triggering evacuations</w:t>
        </w:r>
        <w:r w:rsidR="002F4803">
          <w:rPr>
            <w:webHidden/>
          </w:rPr>
          <w:tab/>
        </w:r>
        <w:r w:rsidR="002F4803">
          <w:rPr>
            <w:webHidden/>
          </w:rPr>
          <w:fldChar w:fldCharType="begin"/>
        </w:r>
        <w:r w:rsidR="002F4803">
          <w:rPr>
            <w:webHidden/>
          </w:rPr>
          <w:instrText xml:space="preserve"> PAGEREF _Toc443381819 \h </w:instrText>
        </w:r>
        <w:r w:rsidR="002F4803">
          <w:rPr>
            <w:webHidden/>
          </w:rPr>
        </w:r>
        <w:r w:rsidR="002F4803">
          <w:rPr>
            <w:webHidden/>
          </w:rPr>
          <w:fldChar w:fldCharType="separate"/>
        </w:r>
        <w:r w:rsidR="002F4803">
          <w:rPr>
            <w:webHidden/>
          </w:rPr>
          <w:t>22</w:t>
        </w:r>
        <w:r w:rsidR="002F4803">
          <w:rPr>
            <w:webHidden/>
          </w:rPr>
          <w:fldChar w:fldCharType="end"/>
        </w:r>
      </w:hyperlink>
    </w:p>
    <w:p w:rsidR="002F4803" w:rsidRDefault="002241BA">
      <w:pPr>
        <w:pStyle w:val="TOC1"/>
        <w:rPr>
          <w:rFonts w:asciiTheme="minorHAnsi" w:eastAsiaTheme="minorEastAsia" w:hAnsiTheme="minorHAnsi" w:cstheme="minorBidi"/>
          <w:b w:val="0"/>
          <w:bCs w:val="0"/>
          <w:iCs w:val="0"/>
          <w:szCs w:val="22"/>
          <w:lang w:eastAsia="en-NZ"/>
        </w:rPr>
      </w:pPr>
      <w:hyperlink w:anchor="_Toc443381820" w:history="1">
        <w:r w:rsidR="002F4803" w:rsidRPr="0016526D">
          <w:rPr>
            <w:rStyle w:val="Hyperlink"/>
          </w:rPr>
          <w:t>Section 6 Tsunami evacuation maps and education</w:t>
        </w:r>
        <w:r w:rsidR="002F4803">
          <w:rPr>
            <w:webHidden/>
          </w:rPr>
          <w:tab/>
        </w:r>
        <w:r w:rsidR="002F4803">
          <w:rPr>
            <w:webHidden/>
          </w:rPr>
          <w:fldChar w:fldCharType="begin"/>
        </w:r>
        <w:r w:rsidR="002F4803">
          <w:rPr>
            <w:webHidden/>
          </w:rPr>
          <w:instrText xml:space="preserve"> PAGEREF _Toc443381820 \h </w:instrText>
        </w:r>
        <w:r w:rsidR="002F4803">
          <w:rPr>
            <w:webHidden/>
          </w:rPr>
        </w:r>
        <w:r w:rsidR="002F4803">
          <w:rPr>
            <w:webHidden/>
          </w:rPr>
          <w:fldChar w:fldCharType="separate"/>
        </w:r>
        <w:r w:rsidR="002F4803">
          <w:rPr>
            <w:webHidden/>
          </w:rPr>
          <w:t>24</w:t>
        </w:r>
        <w:r w:rsidR="002F4803">
          <w:rPr>
            <w:webHidden/>
          </w:rPr>
          <w:fldChar w:fldCharType="end"/>
        </w:r>
      </w:hyperlink>
    </w:p>
    <w:p w:rsidR="002F4803" w:rsidRDefault="002241BA">
      <w:pPr>
        <w:pStyle w:val="TOC2"/>
        <w:rPr>
          <w:rFonts w:asciiTheme="minorHAnsi" w:eastAsiaTheme="minorEastAsia" w:hAnsiTheme="minorHAnsi" w:cstheme="minorBidi"/>
          <w:bCs w:val="0"/>
          <w:lang w:eastAsia="en-NZ"/>
        </w:rPr>
      </w:pPr>
      <w:hyperlink w:anchor="_Toc443381821" w:history="1">
        <w:r w:rsidR="002F4803" w:rsidRPr="0016526D">
          <w:rPr>
            <w:rStyle w:val="Hyperlink"/>
          </w:rPr>
          <w:t>6.1 Public maps</w:t>
        </w:r>
        <w:r w:rsidR="002F4803">
          <w:rPr>
            <w:webHidden/>
          </w:rPr>
          <w:tab/>
        </w:r>
        <w:r w:rsidR="002F4803">
          <w:rPr>
            <w:webHidden/>
          </w:rPr>
          <w:fldChar w:fldCharType="begin"/>
        </w:r>
        <w:r w:rsidR="002F4803">
          <w:rPr>
            <w:webHidden/>
          </w:rPr>
          <w:instrText xml:space="preserve"> PAGEREF _Toc443381821 \h </w:instrText>
        </w:r>
        <w:r w:rsidR="002F4803">
          <w:rPr>
            <w:webHidden/>
          </w:rPr>
        </w:r>
        <w:r w:rsidR="002F4803">
          <w:rPr>
            <w:webHidden/>
          </w:rPr>
          <w:fldChar w:fldCharType="separate"/>
        </w:r>
        <w:r w:rsidR="002F4803">
          <w:rPr>
            <w:webHidden/>
          </w:rPr>
          <w:t>24</w:t>
        </w:r>
        <w:r w:rsidR="002F4803">
          <w:rPr>
            <w:webHidden/>
          </w:rPr>
          <w:fldChar w:fldCharType="end"/>
        </w:r>
      </w:hyperlink>
    </w:p>
    <w:p w:rsidR="002F4803" w:rsidRDefault="002241BA">
      <w:pPr>
        <w:pStyle w:val="TOC2"/>
        <w:rPr>
          <w:rFonts w:asciiTheme="minorHAnsi" w:eastAsiaTheme="minorEastAsia" w:hAnsiTheme="minorHAnsi" w:cstheme="minorBidi"/>
          <w:bCs w:val="0"/>
          <w:lang w:eastAsia="en-NZ"/>
        </w:rPr>
      </w:pPr>
      <w:hyperlink w:anchor="_Toc443381822" w:history="1">
        <w:r w:rsidR="002F4803" w:rsidRPr="0016526D">
          <w:rPr>
            <w:rStyle w:val="Hyperlink"/>
          </w:rPr>
          <w:t>6.2 Warning and evacuation information on maps</w:t>
        </w:r>
        <w:r w:rsidR="002F4803">
          <w:rPr>
            <w:webHidden/>
          </w:rPr>
          <w:tab/>
        </w:r>
        <w:r w:rsidR="002F4803">
          <w:rPr>
            <w:webHidden/>
          </w:rPr>
          <w:fldChar w:fldCharType="begin"/>
        </w:r>
        <w:r w:rsidR="002F4803">
          <w:rPr>
            <w:webHidden/>
          </w:rPr>
          <w:instrText xml:space="preserve"> PAGEREF _Toc443381822 \h </w:instrText>
        </w:r>
        <w:r w:rsidR="002F4803">
          <w:rPr>
            <w:webHidden/>
          </w:rPr>
        </w:r>
        <w:r w:rsidR="002F4803">
          <w:rPr>
            <w:webHidden/>
          </w:rPr>
          <w:fldChar w:fldCharType="separate"/>
        </w:r>
        <w:r w:rsidR="002F4803">
          <w:rPr>
            <w:webHidden/>
          </w:rPr>
          <w:t>25</w:t>
        </w:r>
        <w:r w:rsidR="002F4803">
          <w:rPr>
            <w:webHidden/>
          </w:rPr>
          <w:fldChar w:fldCharType="end"/>
        </w:r>
      </w:hyperlink>
    </w:p>
    <w:p w:rsidR="002F4803" w:rsidRDefault="002241BA">
      <w:pPr>
        <w:pStyle w:val="TOC3"/>
        <w:rPr>
          <w:rFonts w:asciiTheme="minorHAnsi" w:eastAsiaTheme="minorEastAsia" w:hAnsiTheme="minorHAnsi" w:cstheme="minorBidi"/>
          <w:szCs w:val="22"/>
          <w:lang w:eastAsia="en-NZ"/>
        </w:rPr>
      </w:pPr>
      <w:hyperlink w:anchor="_Toc443381823" w:history="1">
        <w:r w:rsidR="002F4803" w:rsidRPr="0016526D">
          <w:rPr>
            <w:rStyle w:val="Hyperlink"/>
          </w:rPr>
          <w:t>6.2.1 Recommended text for warning and evacuation information</w:t>
        </w:r>
        <w:r w:rsidR="002F4803">
          <w:rPr>
            <w:webHidden/>
          </w:rPr>
          <w:tab/>
        </w:r>
        <w:r w:rsidR="002F4803">
          <w:rPr>
            <w:webHidden/>
          </w:rPr>
          <w:fldChar w:fldCharType="begin"/>
        </w:r>
        <w:r w:rsidR="002F4803">
          <w:rPr>
            <w:webHidden/>
          </w:rPr>
          <w:instrText xml:space="preserve"> PAGEREF _Toc443381823 \h </w:instrText>
        </w:r>
        <w:r w:rsidR="002F4803">
          <w:rPr>
            <w:webHidden/>
          </w:rPr>
        </w:r>
        <w:r w:rsidR="002F4803">
          <w:rPr>
            <w:webHidden/>
          </w:rPr>
          <w:fldChar w:fldCharType="separate"/>
        </w:r>
        <w:r w:rsidR="002F4803">
          <w:rPr>
            <w:webHidden/>
          </w:rPr>
          <w:t>25</w:t>
        </w:r>
        <w:r w:rsidR="002F4803">
          <w:rPr>
            <w:webHidden/>
          </w:rPr>
          <w:fldChar w:fldCharType="end"/>
        </w:r>
      </w:hyperlink>
    </w:p>
    <w:p w:rsidR="002F4803" w:rsidRDefault="002241BA">
      <w:pPr>
        <w:pStyle w:val="TOC2"/>
        <w:rPr>
          <w:rFonts w:asciiTheme="minorHAnsi" w:eastAsiaTheme="minorEastAsia" w:hAnsiTheme="minorHAnsi" w:cstheme="minorBidi"/>
          <w:bCs w:val="0"/>
          <w:lang w:eastAsia="en-NZ"/>
        </w:rPr>
      </w:pPr>
      <w:hyperlink w:anchor="_Toc443381824" w:history="1">
        <w:r w:rsidR="002F4803" w:rsidRPr="0016526D">
          <w:rPr>
            <w:rStyle w:val="Hyperlink"/>
          </w:rPr>
          <w:t>6.3 Signage for tsunami information</w:t>
        </w:r>
        <w:r w:rsidR="002F4803">
          <w:rPr>
            <w:webHidden/>
          </w:rPr>
          <w:tab/>
        </w:r>
        <w:r w:rsidR="002F4803">
          <w:rPr>
            <w:webHidden/>
          </w:rPr>
          <w:fldChar w:fldCharType="begin"/>
        </w:r>
        <w:r w:rsidR="002F4803">
          <w:rPr>
            <w:webHidden/>
          </w:rPr>
          <w:instrText xml:space="preserve"> PAGEREF _Toc443381824 \h </w:instrText>
        </w:r>
        <w:r w:rsidR="002F4803">
          <w:rPr>
            <w:webHidden/>
          </w:rPr>
        </w:r>
        <w:r w:rsidR="002F4803">
          <w:rPr>
            <w:webHidden/>
          </w:rPr>
          <w:fldChar w:fldCharType="separate"/>
        </w:r>
        <w:r w:rsidR="002F4803">
          <w:rPr>
            <w:webHidden/>
          </w:rPr>
          <w:t>26</w:t>
        </w:r>
        <w:r w:rsidR="002F4803">
          <w:rPr>
            <w:webHidden/>
          </w:rPr>
          <w:fldChar w:fldCharType="end"/>
        </w:r>
      </w:hyperlink>
    </w:p>
    <w:p w:rsidR="002F4803" w:rsidRDefault="002241BA">
      <w:pPr>
        <w:pStyle w:val="TOC2"/>
        <w:rPr>
          <w:rFonts w:asciiTheme="minorHAnsi" w:eastAsiaTheme="minorEastAsia" w:hAnsiTheme="minorHAnsi" w:cstheme="minorBidi"/>
          <w:bCs w:val="0"/>
          <w:lang w:eastAsia="en-NZ"/>
        </w:rPr>
      </w:pPr>
      <w:hyperlink w:anchor="_Toc443381825" w:history="1">
        <w:r w:rsidR="002F4803" w:rsidRPr="0016526D">
          <w:rPr>
            <w:rStyle w:val="Hyperlink"/>
          </w:rPr>
          <w:t>6.4 Community participation in evacuation planning</w:t>
        </w:r>
        <w:r w:rsidR="002F4803">
          <w:rPr>
            <w:webHidden/>
          </w:rPr>
          <w:tab/>
        </w:r>
        <w:r w:rsidR="002F4803">
          <w:rPr>
            <w:webHidden/>
          </w:rPr>
          <w:fldChar w:fldCharType="begin"/>
        </w:r>
        <w:r w:rsidR="002F4803">
          <w:rPr>
            <w:webHidden/>
          </w:rPr>
          <w:instrText xml:space="preserve"> PAGEREF _Toc443381825 \h </w:instrText>
        </w:r>
        <w:r w:rsidR="002F4803">
          <w:rPr>
            <w:webHidden/>
          </w:rPr>
        </w:r>
        <w:r w:rsidR="002F4803">
          <w:rPr>
            <w:webHidden/>
          </w:rPr>
          <w:fldChar w:fldCharType="separate"/>
        </w:r>
        <w:r w:rsidR="002F4803">
          <w:rPr>
            <w:webHidden/>
          </w:rPr>
          <w:t>27</w:t>
        </w:r>
        <w:r w:rsidR="002F4803">
          <w:rPr>
            <w:webHidden/>
          </w:rPr>
          <w:fldChar w:fldCharType="end"/>
        </w:r>
      </w:hyperlink>
    </w:p>
    <w:p w:rsidR="002F4803" w:rsidRDefault="002241BA">
      <w:pPr>
        <w:pStyle w:val="TOC2"/>
        <w:rPr>
          <w:rFonts w:asciiTheme="minorHAnsi" w:eastAsiaTheme="minorEastAsia" w:hAnsiTheme="minorHAnsi" w:cstheme="minorBidi"/>
          <w:bCs w:val="0"/>
          <w:lang w:eastAsia="en-NZ"/>
        </w:rPr>
      </w:pPr>
      <w:hyperlink w:anchor="_Toc443381826" w:history="1">
        <w:r w:rsidR="002F4803" w:rsidRPr="0016526D">
          <w:rPr>
            <w:rStyle w:val="Hyperlink"/>
          </w:rPr>
          <w:t>6.5 Education and exercises</w:t>
        </w:r>
        <w:r w:rsidR="002F4803">
          <w:rPr>
            <w:webHidden/>
          </w:rPr>
          <w:tab/>
        </w:r>
        <w:r w:rsidR="002F4803">
          <w:rPr>
            <w:webHidden/>
          </w:rPr>
          <w:fldChar w:fldCharType="begin"/>
        </w:r>
        <w:r w:rsidR="002F4803">
          <w:rPr>
            <w:webHidden/>
          </w:rPr>
          <w:instrText xml:space="preserve"> PAGEREF _Toc443381826 \h </w:instrText>
        </w:r>
        <w:r w:rsidR="002F4803">
          <w:rPr>
            <w:webHidden/>
          </w:rPr>
        </w:r>
        <w:r w:rsidR="002F4803">
          <w:rPr>
            <w:webHidden/>
          </w:rPr>
          <w:fldChar w:fldCharType="separate"/>
        </w:r>
        <w:r w:rsidR="002F4803">
          <w:rPr>
            <w:webHidden/>
          </w:rPr>
          <w:t>28</w:t>
        </w:r>
        <w:r w:rsidR="002F4803">
          <w:rPr>
            <w:webHidden/>
          </w:rPr>
          <w:fldChar w:fldCharType="end"/>
        </w:r>
      </w:hyperlink>
    </w:p>
    <w:p w:rsidR="002F4803" w:rsidRDefault="002241BA">
      <w:pPr>
        <w:pStyle w:val="TOC2"/>
        <w:rPr>
          <w:rFonts w:asciiTheme="minorHAnsi" w:eastAsiaTheme="minorEastAsia" w:hAnsiTheme="minorHAnsi" w:cstheme="minorBidi"/>
          <w:bCs w:val="0"/>
          <w:lang w:eastAsia="en-NZ"/>
        </w:rPr>
      </w:pPr>
      <w:hyperlink w:anchor="_Toc443381827" w:history="1">
        <w:r w:rsidR="002F4803" w:rsidRPr="0016526D">
          <w:rPr>
            <w:rStyle w:val="Hyperlink"/>
          </w:rPr>
          <w:t>6.6 Advice for ports, shipping and people in boats</w:t>
        </w:r>
        <w:r w:rsidR="002F4803">
          <w:rPr>
            <w:webHidden/>
          </w:rPr>
          <w:tab/>
        </w:r>
        <w:r w:rsidR="002F4803">
          <w:rPr>
            <w:webHidden/>
          </w:rPr>
          <w:fldChar w:fldCharType="begin"/>
        </w:r>
        <w:r w:rsidR="002F4803">
          <w:rPr>
            <w:webHidden/>
          </w:rPr>
          <w:instrText xml:space="preserve"> PAGEREF _Toc443381827 \h </w:instrText>
        </w:r>
        <w:r w:rsidR="002F4803">
          <w:rPr>
            <w:webHidden/>
          </w:rPr>
        </w:r>
        <w:r w:rsidR="002F4803">
          <w:rPr>
            <w:webHidden/>
          </w:rPr>
          <w:fldChar w:fldCharType="separate"/>
        </w:r>
        <w:r w:rsidR="002F4803">
          <w:rPr>
            <w:webHidden/>
          </w:rPr>
          <w:t>33</w:t>
        </w:r>
        <w:r w:rsidR="002F4803">
          <w:rPr>
            <w:webHidden/>
          </w:rPr>
          <w:fldChar w:fldCharType="end"/>
        </w:r>
      </w:hyperlink>
    </w:p>
    <w:p w:rsidR="002F4803" w:rsidRDefault="002241BA">
      <w:pPr>
        <w:pStyle w:val="TOC3"/>
        <w:rPr>
          <w:rFonts w:asciiTheme="minorHAnsi" w:eastAsiaTheme="minorEastAsia" w:hAnsiTheme="minorHAnsi" w:cstheme="minorBidi"/>
          <w:szCs w:val="22"/>
          <w:lang w:eastAsia="en-NZ"/>
        </w:rPr>
      </w:pPr>
      <w:hyperlink w:anchor="_Toc443381828" w:history="1">
        <w:r w:rsidR="002F4803" w:rsidRPr="0016526D">
          <w:rPr>
            <w:rStyle w:val="Hyperlink"/>
          </w:rPr>
          <w:t>6.6.1 Local tsunami</w:t>
        </w:r>
        <w:r w:rsidR="002F4803">
          <w:rPr>
            <w:webHidden/>
          </w:rPr>
          <w:tab/>
        </w:r>
        <w:r w:rsidR="002F4803">
          <w:rPr>
            <w:webHidden/>
          </w:rPr>
          <w:fldChar w:fldCharType="begin"/>
        </w:r>
        <w:r w:rsidR="002F4803">
          <w:rPr>
            <w:webHidden/>
          </w:rPr>
          <w:instrText xml:space="preserve"> PAGEREF _Toc443381828 \h </w:instrText>
        </w:r>
        <w:r w:rsidR="002F4803">
          <w:rPr>
            <w:webHidden/>
          </w:rPr>
        </w:r>
        <w:r w:rsidR="002F4803">
          <w:rPr>
            <w:webHidden/>
          </w:rPr>
          <w:fldChar w:fldCharType="separate"/>
        </w:r>
        <w:r w:rsidR="002F4803">
          <w:rPr>
            <w:webHidden/>
          </w:rPr>
          <w:t>34</w:t>
        </w:r>
        <w:r w:rsidR="002F4803">
          <w:rPr>
            <w:webHidden/>
          </w:rPr>
          <w:fldChar w:fldCharType="end"/>
        </w:r>
      </w:hyperlink>
    </w:p>
    <w:p w:rsidR="002F4803" w:rsidRDefault="002241BA">
      <w:pPr>
        <w:pStyle w:val="TOC3"/>
        <w:rPr>
          <w:rFonts w:asciiTheme="minorHAnsi" w:eastAsiaTheme="minorEastAsia" w:hAnsiTheme="minorHAnsi" w:cstheme="minorBidi"/>
          <w:szCs w:val="22"/>
          <w:lang w:eastAsia="en-NZ"/>
        </w:rPr>
      </w:pPr>
      <w:hyperlink w:anchor="_Toc443381829" w:history="1">
        <w:r w:rsidR="002F4803" w:rsidRPr="0016526D">
          <w:rPr>
            <w:rStyle w:val="Hyperlink"/>
          </w:rPr>
          <w:t>6.6.2 Distal tsunami</w:t>
        </w:r>
        <w:r w:rsidR="002F4803">
          <w:rPr>
            <w:webHidden/>
          </w:rPr>
          <w:tab/>
        </w:r>
        <w:r w:rsidR="002F4803">
          <w:rPr>
            <w:webHidden/>
          </w:rPr>
          <w:fldChar w:fldCharType="begin"/>
        </w:r>
        <w:r w:rsidR="002F4803">
          <w:rPr>
            <w:webHidden/>
          </w:rPr>
          <w:instrText xml:space="preserve"> PAGEREF _Toc443381829 \h </w:instrText>
        </w:r>
        <w:r w:rsidR="002F4803">
          <w:rPr>
            <w:webHidden/>
          </w:rPr>
        </w:r>
        <w:r w:rsidR="002F4803">
          <w:rPr>
            <w:webHidden/>
          </w:rPr>
          <w:fldChar w:fldCharType="separate"/>
        </w:r>
        <w:r w:rsidR="002F4803">
          <w:rPr>
            <w:webHidden/>
          </w:rPr>
          <w:t>35</w:t>
        </w:r>
        <w:r w:rsidR="002F4803">
          <w:rPr>
            <w:webHidden/>
          </w:rPr>
          <w:fldChar w:fldCharType="end"/>
        </w:r>
      </w:hyperlink>
    </w:p>
    <w:p w:rsidR="002F4803" w:rsidRDefault="002241BA">
      <w:pPr>
        <w:pStyle w:val="TOC3"/>
        <w:rPr>
          <w:rFonts w:asciiTheme="minorHAnsi" w:eastAsiaTheme="minorEastAsia" w:hAnsiTheme="minorHAnsi" w:cstheme="minorBidi"/>
          <w:szCs w:val="22"/>
          <w:lang w:eastAsia="en-NZ"/>
        </w:rPr>
      </w:pPr>
      <w:hyperlink w:anchor="_Toc443381830" w:history="1">
        <w:r w:rsidR="002F4803" w:rsidRPr="0016526D">
          <w:rPr>
            <w:rStyle w:val="Hyperlink"/>
          </w:rPr>
          <w:t>6.6.3 After the tsunami</w:t>
        </w:r>
        <w:r w:rsidR="002F4803">
          <w:rPr>
            <w:webHidden/>
          </w:rPr>
          <w:tab/>
        </w:r>
        <w:r w:rsidR="002F4803">
          <w:rPr>
            <w:webHidden/>
          </w:rPr>
          <w:fldChar w:fldCharType="begin"/>
        </w:r>
        <w:r w:rsidR="002F4803">
          <w:rPr>
            <w:webHidden/>
          </w:rPr>
          <w:instrText xml:space="preserve"> PAGEREF _Toc443381830 \h </w:instrText>
        </w:r>
        <w:r w:rsidR="002F4803">
          <w:rPr>
            <w:webHidden/>
          </w:rPr>
        </w:r>
        <w:r w:rsidR="002F4803">
          <w:rPr>
            <w:webHidden/>
          </w:rPr>
          <w:fldChar w:fldCharType="separate"/>
        </w:r>
        <w:r w:rsidR="002F4803">
          <w:rPr>
            <w:webHidden/>
          </w:rPr>
          <w:t>35</w:t>
        </w:r>
        <w:r w:rsidR="002F4803">
          <w:rPr>
            <w:webHidden/>
          </w:rPr>
          <w:fldChar w:fldCharType="end"/>
        </w:r>
      </w:hyperlink>
    </w:p>
    <w:p w:rsidR="002F4803" w:rsidRDefault="002241BA">
      <w:pPr>
        <w:pStyle w:val="TOC3"/>
        <w:rPr>
          <w:rFonts w:asciiTheme="minorHAnsi" w:eastAsiaTheme="minorEastAsia" w:hAnsiTheme="minorHAnsi" w:cstheme="minorBidi"/>
          <w:szCs w:val="22"/>
          <w:lang w:eastAsia="en-NZ"/>
        </w:rPr>
      </w:pPr>
      <w:hyperlink w:anchor="_Toc443381831" w:history="1">
        <w:r w:rsidR="002F4803" w:rsidRPr="0016526D">
          <w:rPr>
            <w:rStyle w:val="Hyperlink"/>
          </w:rPr>
          <w:t>6.6.4 Broadcast during a tsunami</w:t>
        </w:r>
        <w:r w:rsidR="002F4803">
          <w:rPr>
            <w:webHidden/>
          </w:rPr>
          <w:tab/>
        </w:r>
        <w:r w:rsidR="002F4803">
          <w:rPr>
            <w:webHidden/>
          </w:rPr>
          <w:fldChar w:fldCharType="begin"/>
        </w:r>
        <w:r w:rsidR="002F4803">
          <w:rPr>
            <w:webHidden/>
          </w:rPr>
          <w:instrText xml:space="preserve"> PAGEREF _Toc443381831 \h </w:instrText>
        </w:r>
        <w:r w:rsidR="002F4803">
          <w:rPr>
            <w:webHidden/>
          </w:rPr>
        </w:r>
        <w:r w:rsidR="002F4803">
          <w:rPr>
            <w:webHidden/>
          </w:rPr>
          <w:fldChar w:fldCharType="separate"/>
        </w:r>
        <w:r w:rsidR="002F4803">
          <w:rPr>
            <w:webHidden/>
          </w:rPr>
          <w:t>36</w:t>
        </w:r>
        <w:r w:rsidR="002F4803">
          <w:rPr>
            <w:webHidden/>
          </w:rPr>
          <w:fldChar w:fldCharType="end"/>
        </w:r>
      </w:hyperlink>
    </w:p>
    <w:p w:rsidR="002F4803" w:rsidRDefault="002241BA">
      <w:pPr>
        <w:pStyle w:val="TOC1"/>
        <w:rPr>
          <w:rFonts w:asciiTheme="minorHAnsi" w:eastAsiaTheme="minorEastAsia" w:hAnsiTheme="minorHAnsi" w:cstheme="minorBidi"/>
          <w:b w:val="0"/>
          <w:bCs w:val="0"/>
          <w:iCs w:val="0"/>
          <w:szCs w:val="22"/>
          <w:lang w:eastAsia="en-NZ"/>
        </w:rPr>
      </w:pPr>
      <w:hyperlink w:anchor="_Toc443381832" w:history="1">
        <w:r w:rsidR="002F4803" w:rsidRPr="0016526D">
          <w:rPr>
            <w:rStyle w:val="Hyperlink"/>
          </w:rPr>
          <w:t>Section 7 References</w:t>
        </w:r>
        <w:r w:rsidR="002F4803">
          <w:rPr>
            <w:webHidden/>
          </w:rPr>
          <w:tab/>
        </w:r>
        <w:r w:rsidR="002F4803">
          <w:rPr>
            <w:webHidden/>
          </w:rPr>
          <w:fldChar w:fldCharType="begin"/>
        </w:r>
        <w:r w:rsidR="002F4803">
          <w:rPr>
            <w:webHidden/>
          </w:rPr>
          <w:instrText xml:space="preserve"> PAGEREF _Toc443381832 \h </w:instrText>
        </w:r>
        <w:r w:rsidR="002F4803">
          <w:rPr>
            <w:webHidden/>
          </w:rPr>
        </w:r>
        <w:r w:rsidR="002F4803">
          <w:rPr>
            <w:webHidden/>
          </w:rPr>
          <w:fldChar w:fldCharType="separate"/>
        </w:r>
        <w:r w:rsidR="002F4803">
          <w:rPr>
            <w:webHidden/>
          </w:rPr>
          <w:t>37</w:t>
        </w:r>
        <w:r w:rsidR="002F4803">
          <w:rPr>
            <w:webHidden/>
          </w:rPr>
          <w:fldChar w:fldCharType="end"/>
        </w:r>
      </w:hyperlink>
    </w:p>
    <w:p w:rsidR="00502291" w:rsidRDefault="00E84CE6" w:rsidP="00A44022">
      <w:pPr>
        <w:rPr>
          <w:rFonts w:cstheme="minorHAnsi"/>
          <w:noProof/>
          <w:szCs w:val="24"/>
        </w:rPr>
      </w:pPr>
      <w:r>
        <w:rPr>
          <w:rFonts w:cstheme="minorHAnsi"/>
          <w:noProof/>
          <w:szCs w:val="24"/>
        </w:rPr>
        <w:fldChar w:fldCharType="end"/>
      </w:r>
    </w:p>
    <w:p w:rsidR="00502291" w:rsidRDefault="00502291" w:rsidP="00A44022">
      <w:pPr>
        <w:spacing w:before="0" w:after="0" w:line="240" w:lineRule="auto"/>
        <w:rPr>
          <w:rFonts w:cstheme="minorHAnsi"/>
          <w:noProof/>
          <w:szCs w:val="24"/>
        </w:rPr>
      </w:pPr>
      <w:r>
        <w:rPr>
          <w:rFonts w:cstheme="minorHAnsi"/>
          <w:noProof/>
          <w:szCs w:val="24"/>
        </w:rPr>
        <w:br w:type="page"/>
      </w:r>
    </w:p>
    <w:p w:rsidR="0031293A" w:rsidRPr="00A1192A" w:rsidRDefault="0031293A" w:rsidP="00A44022">
      <w:pPr>
        <w:rPr>
          <w:rFonts w:cstheme="minorHAnsi"/>
          <w:bCs/>
          <w:iCs/>
          <w:noProof/>
          <w:szCs w:val="24"/>
        </w:rPr>
      </w:pPr>
    </w:p>
    <w:p w:rsidR="003915FB" w:rsidRDefault="003915FB" w:rsidP="00A44022"/>
    <w:p w:rsidR="003915FB" w:rsidRPr="003915FB" w:rsidRDefault="003915FB" w:rsidP="00A44022">
      <w:pPr>
        <w:sectPr w:rsidR="003915FB" w:rsidRPr="003915FB" w:rsidSect="0031293A">
          <w:headerReference w:type="default" r:id="rId20"/>
          <w:footerReference w:type="even" r:id="rId21"/>
          <w:footerReference w:type="default" r:id="rId22"/>
          <w:pgSz w:w="11907" w:h="16840" w:code="9"/>
          <w:pgMar w:top="1191" w:right="1021" w:bottom="794" w:left="1361" w:header="568" w:footer="340" w:gutter="0"/>
          <w:pgNumType w:fmt="lowerRoman" w:start="1"/>
          <w:cols w:space="720"/>
          <w:docGrid w:linePitch="326"/>
        </w:sectPr>
      </w:pPr>
    </w:p>
    <w:p w:rsidR="001431A5" w:rsidRDefault="001431A5" w:rsidP="00A44022">
      <w:pPr>
        <w:pStyle w:val="Heading1"/>
      </w:pPr>
      <w:bookmarkStart w:id="2" w:name="_Ref358713725"/>
      <w:bookmarkStart w:id="3" w:name="_Ref358713736"/>
      <w:bookmarkStart w:id="4" w:name="section1introduction"/>
      <w:bookmarkStart w:id="5" w:name="_Toc358962894"/>
      <w:bookmarkStart w:id="6" w:name="_Toc359403853"/>
      <w:bookmarkStart w:id="7" w:name="_Toc361064927"/>
      <w:bookmarkStart w:id="8" w:name="_Toc443381800"/>
      <w:r w:rsidRPr="006C7519">
        <w:lastRenderedPageBreak/>
        <w:t>Introduction</w:t>
      </w:r>
      <w:bookmarkEnd w:id="2"/>
      <w:bookmarkEnd w:id="3"/>
      <w:bookmarkEnd w:id="4"/>
      <w:bookmarkEnd w:id="5"/>
      <w:bookmarkEnd w:id="6"/>
      <w:bookmarkEnd w:id="7"/>
      <w:bookmarkEnd w:id="8"/>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0258D5" w:rsidTr="001352FB">
        <w:tc>
          <w:tcPr>
            <w:tcW w:w="1927" w:type="dxa"/>
            <w:tcMar>
              <w:right w:w="227" w:type="dxa"/>
            </w:tcMar>
          </w:tcPr>
          <w:p w:rsidR="000258D5" w:rsidRPr="00980DE5" w:rsidRDefault="000258D5" w:rsidP="00A44022">
            <w:pPr>
              <w:pStyle w:val="LHcolumn"/>
              <w:rPr>
                <w:highlight w:val="yellow"/>
              </w:rPr>
            </w:pPr>
          </w:p>
        </w:tc>
        <w:tc>
          <w:tcPr>
            <w:tcW w:w="7706" w:type="dxa"/>
          </w:tcPr>
          <w:p w:rsidR="000258D5" w:rsidRDefault="00B434C9" w:rsidP="00A44022">
            <w:r>
              <w:t xml:space="preserve">This section provides </w:t>
            </w:r>
            <w:r w:rsidRPr="00B85DD2">
              <w:t>a</w:t>
            </w:r>
            <w:r>
              <w:t>n introduction to this guideline and includes definitions for some of the key terms and abbreviations used.</w:t>
            </w:r>
          </w:p>
        </w:tc>
      </w:tr>
    </w:tbl>
    <w:p w:rsidR="00C60EE9" w:rsidRDefault="00C60EE9" w:rsidP="00A44022">
      <w:bookmarkStart w:id="9" w:name="_Toc359403854"/>
      <w:bookmarkStart w:id="10" w:name="_Toc361064928"/>
    </w:p>
    <w:p w:rsidR="00706743" w:rsidRPr="00706743" w:rsidRDefault="00706743" w:rsidP="00A44022">
      <w:pPr>
        <w:pStyle w:val="Heading2"/>
      </w:pPr>
      <w:bookmarkStart w:id="11" w:name="_Toc443381801"/>
      <w:r>
        <w:t xml:space="preserve">About </w:t>
      </w:r>
      <w:r w:rsidR="00721D6A">
        <w:t>this guideline</w:t>
      </w:r>
      <w:bookmarkEnd w:id="9"/>
      <w:bookmarkEnd w:id="10"/>
      <w:bookmarkEnd w:id="11"/>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2805D2" w:rsidTr="000D5A9A">
        <w:tc>
          <w:tcPr>
            <w:tcW w:w="1928" w:type="dxa"/>
            <w:tcMar>
              <w:right w:w="227" w:type="dxa"/>
            </w:tcMar>
          </w:tcPr>
          <w:p w:rsidR="002805D2" w:rsidRDefault="009E2C5B" w:rsidP="00A44022">
            <w:pPr>
              <w:pStyle w:val="LHcolumn"/>
            </w:pPr>
            <w:r>
              <w:t>Purpose</w:t>
            </w:r>
          </w:p>
        </w:tc>
        <w:tc>
          <w:tcPr>
            <w:tcW w:w="7711" w:type="dxa"/>
          </w:tcPr>
          <w:p w:rsidR="009D23EA" w:rsidRDefault="00E70E83" w:rsidP="00A44022">
            <w:pPr>
              <w:rPr>
                <w:rFonts w:cs="Arial"/>
              </w:rPr>
            </w:pPr>
            <w:r w:rsidRPr="009E2C5B">
              <w:rPr>
                <w:rFonts w:cs="Arial"/>
              </w:rPr>
              <w:t xml:space="preserve">The </w:t>
            </w:r>
            <w:r w:rsidRPr="009E2C5B">
              <w:rPr>
                <w:rFonts w:cs="Arial"/>
                <w:b/>
              </w:rPr>
              <w:t xml:space="preserve">purpose </w:t>
            </w:r>
            <w:r w:rsidRPr="009E2C5B">
              <w:rPr>
                <w:rFonts w:cs="Arial"/>
              </w:rPr>
              <w:t xml:space="preserve">of this </w:t>
            </w:r>
            <w:r w:rsidR="004C348C" w:rsidRPr="009E2C5B">
              <w:rPr>
                <w:rFonts w:cs="Arial"/>
              </w:rPr>
              <w:t>guideline</w:t>
            </w:r>
            <w:r w:rsidR="009E2C5B" w:rsidRPr="009E2C5B">
              <w:rPr>
                <w:rFonts w:cs="Arial"/>
              </w:rPr>
              <w:t xml:space="preserve"> is to provide </w:t>
            </w:r>
            <w:r w:rsidR="009D23EA">
              <w:rPr>
                <w:rFonts w:cs="Arial"/>
              </w:rPr>
              <w:t xml:space="preserve">for </w:t>
            </w:r>
            <w:r w:rsidR="00B01FB9">
              <w:rPr>
                <w:rFonts w:cs="Arial"/>
              </w:rPr>
              <w:t xml:space="preserve">a </w:t>
            </w:r>
            <w:r w:rsidR="009E2C5B" w:rsidRPr="009E2C5B">
              <w:rPr>
                <w:rFonts w:cs="Arial"/>
              </w:rPr>
              <w:t xml:space="preserve">nationally consistent </w:t>
            </w:r>
            <w:r w:rsidR="009D23EA">
              <w:rPr>
                <w:rFonts w:cs="Arial"/>
              </w:rPr>
              <w:t>approach to</w:t>
            </w:r>
            <w:r w:rsidR="009E2C5B" w:rsidRPr="009E2C5B">
              <w:rPr>
                <w:rFonts w:cs="Arial"/>
              </w:rPr>
              <w:t xml:space="preserve"> developing tsunami evacuation zones, maps, and</w:t>
            </w:r>
            <w:r w:rsidR="009D23EA">
              <w:rPr>
                <w:rFonts w:cs="Arial"/>
              </w:rPr>
              <w:t xml:space="preserve"> public</w:t>
            </w:r>
            <w:r w:rsidR="009E2C5B" w:rsidRPr="009E2C5B">
              <w:rPr>
                <w:rFonts w:cs="Arial"/>
              </w:rPr>
              <w:t xml:space="preserve"> information for CDEM Groups</w:t>
            </w:r>
            <w:r w:rsidR="000D021A">
              <w:rPr>
                <w:rFonts w:cs="Arial"/>
              </w:rPr>
              <w:t xml:space="preserve"> and </w:t>
            </w:r>
            <w:r w:rsidR="003E3F58">
              <w:rPr>
                <w:rFonts w:cs="Arial"/>
              </w:rPr>
              <w:t>l</w:t>
            </w:r>
            <w:r w:rsidR="003E3F58" w:rsidRPr="009E2C5B">
              <w:rPr>
                <w:rFonts w:cs="Arial"/>
              </w:rPr>
              <w:t xml:space="preserve">ocal </w:t>
            </w:r>
            <w:r w:rsidR="003E3F58">
              <w:rPr>
                <w:rFonts w:cs="Arial"/>
              </w:rPr>
              <w:t>a</w:t>
            </w:r>
            <w:r w:rsidR="003E3F58" w:rsidRPr="009E2C5B">
              <w:rPr>
                <w:rFonts w:cs="Arial"/>
              </w:rPr>
              <w:t>uthorities</w:t>
            </w:r>
            <w:r w:rsidR="003E3F58">
              <w:rPr>
                <w:rFonts w:cs="Arial"/>
              </w:rPr>
              <w:t>.</w:t>
            </w:r>
          </w:p>
          <w:p w:rsidR="00C60EE9" w:rsidRPr="009E2C5B" w:rsidRDefault="00C60EE9" w:rsidP="00A44022">
            <w:pPr>
              <w:pStyle w:val="Spacer"/>
            </w:pPr>
          </w:p>
        </w:tc>
      </w:tr>
      <w:tr w:rsidR="00F00808" w:rsidTr="000D5A9A">
        <w:tc>
          <w:tcPr>
            <w:tcW w:w="1928" w:type="dxa"/>
            <w:tcMar>
              <w:right w:w="227" w:type="dxa"/>
            </w:tcMar>
          </w:tcPr>
          <w:p w:rsidR="003732CF" w:rsidRDefault="00B52CEB" w:rsidP="00A44022">
            <w:pPr>
              <w:pStyle w:val="LHcolumn"/>
            </w:pPr>
            <w:r>
              <w:t>Implementation and relationship to other plans and guidelines</w:t>
            </w:r>
          </w:p>
        </w:tc>
        <w:tc>
          <w:tcPr>
            <w:tcW w:w="7711" w:type="dxa"/>
          </w:tcPr>
          <w:p w:rsidR="00D7216E" w:rsidRDefault="00B52CEB" w:rsidP="00A44022">
            <w:r w:rsidRPr="00B52CEB">
              <w:t>The intention of this guideline is not to be prescriptive regarding the level of risk used as a basis for establishing hazard and/or evacuation zones. Rather it sets a standard approach for developing and displaying evacuation zone information</w:t>
            </w:r>
            <w:r w:rsidR="00D7216E">
              <w:t>.</w:t>
            </w:r>
          </w:p>
          <w:p w:rsidR="00B52CEB" w:rsidRPr="00B52CEB" w:rsidRDefault="00B52CEB" w:rsidP="00A44022">
            <w:r w:rsidRPr="00B52CEB">
              <w:t>Th</w:t>
            </w:r>
            <w:r w:rsidR="000D42F1">
              <w:t>is</w:t>
            </w:r>
            <w:r w:rsidRPr="00B52CEB">
              <w:t xml:space="preserve"> guideline recognises the requirement to balance the complexity and current uncertainty of the tsunami risk environment with the need to provide the community with easily understood emergency information.</w:t>
            </w:r>
          </w:p>
          <w:p w:rsidR="00B52CEB" w:rsidRPr="00B52CEB" w:rsidRDefault="00B52CEB" w:rsidP="00A44022">
            <w:r w:rsidRPr="00B52CEB">
              <w:t xml:space="preserve">This guideline does not provide detailed guidance on </w:t>
            </w:r>
            <w:r w:rsidR="009D23EA">
              <w:t xml:space="preserve">mass </w:t>
            </w:r>
            <w:r w:rsidRPr="00B52CEB">
              <w:t xml:space="preserve">evacuation planning processes for tsunami.  Guidance for mass evacuation planning is provided in the Director’s Guideline </w:t>
            </w:r>
            <w:r w:rsidR="00B75C38">
              <w:t xml:space="preserve">on </w:t>
            </w:r>
            <w:r w:rsidRPr="00B52CEB">
              <w:t>Mass Evacuation Planning</w:t>
            </w:r>
            <w:r w:rsidR="00F4085C">
              <w:t xml:space="preserve">: </w:t>
            </w:r>
            <w:r w:rsidR="00F4085C" w:rsidRPr="00B52CEB">
              <w:t>DGL 07/08</w:t>
            </w:r>
            <w:r w:rsidR="00F4085C">
              <w:t xml:space="preserve"> (MCDEM 2008)</w:t>
            </w:r>
            <w:r w:rsidRPr="00B52CEB">
              <w:t>. Community response planning process examples are given in the relevant section below.</w:t>
            </w:r>
          </w:p>
          <w:p w:rsidR="00B52CEB" w:rsidRPr="00B52CEB" w:rsidRDefault="00B52CEB" w:rsidP="00A44022">
            <w:pPr>
              <w:rPr>
                <w:szCs w:val="28"/>
              </w:rPr>
            </w:pPr>
            <w:r w:rsidRPr="00B52CEB">
              <w:rPr>
                <w:szCs w:val="28"/>
              </w:rPr>
              <w:t xml:space="preserve">This guideline is part of a suite of plans and guidance for tsunami warning and response, as shown in </w:t>
            </w:r>
            <w:r w:rsidR="00EF0E33">
              <w:rPr>
                <w:szCs w:val="28"/>
              </w:rPr>
              <w:fldChar w:fldCharType="begin"/>
            </w:r>
            <w:r w:rsidR="00EF0E33">
              <w:rPr>
                <w:szCs w:val="28"/>
              </w:rPr>
              <w:instrText xml:space="preserve"> REF _Ref442784994 \h </w:instrText>
            </w:r>
            <w:r w:rsidR="00EF0E33">
              <w:rPr>
                <w:szCs w:val="28"/>
              </w:rPr>
            </w:r>
            <w:r w:rsidR="00EF0E33">
              <w:rPr>
                <w:szCs w:val="28"/>
              </w:rPr>
              <w:fldChar w:fldCharType="separate"/>
            </w:r>
            <w:r w:rsidR="009B2134" w:rsidRPr="00A44022">
              <w:t xml:space="preserve">Figure </w:t>
            </w:r>
            <w:r w:rsidR="009B2134">
              <w:rPr>
                <w:noProof/>
              </w:rPr>
              <w:t>1</w:t>
            </w:r>
            <w:r w:rsidR="00EF0E33">
              <w:rPr>
                <w:szCs w:val="28"/>
              </w:rPr>
              <w:fldChar w:fldCharType="end"/>
            </w:r>
            <w:r w:rsidR="00EF0E33">
              <w:rPr>
                <w:szCs w:val="28"/>
              </w:rPr>
              <w:t xml:space="preserve"> on the next page</w:t>
            </w:r>
            <w:r w:rsidRPr="00B52CEB">
              <w:rPr>
                <w:szCs w:val="28"/>
              </w:rPr>
              <w:t>. It represents tsunami-specific guidance for planning at the regional level, and helps to support tsunami warning and response via the National Warning System and the National Tsunami Advisory and Warning Plan</w:t>
            </w:r>
            <w:r w:rsidR="00B155F3">
              <w:rPr>
                <w:szCs w:val="28"/>
              </w:rPr>
              <w:t xml:space="preserve">: </w:t>
            </w:r>
            <w:r w:rsidRPr="00B52CEB">
              <w:rPr>
                <w:szCs w:val="28"/>
              </w:rPr>
              <w:t>SP01/09</w:t>
            </w:r>
            <w:r w:rsidR="00B155F3">
              <w:rPr>
                <w:szCs w:val="28"/>
              </w:rPr>
              <w:t xml:space="preserve"> (MCDEM 20</w:t>
            </w:r>
            <w:r w:rsidR="00077C02">
              <w:rPr>
                <w:szCs w:val="28"/>
              </w:rPr>
              <w:t>14</w:t>
            </w:r>
            <w:r w:rsidR="00B155F3">
              <w:rPr>
                <w:szCs w:val="28"/>
              </w:rPr>
              <w:t>)</w:t>
            </w:r>
            <w:r w:rsidRPr="00B52CEB">
              <w:rPr>
                <w:szCs w:val="28"/>
              </w:rPr>
              <w:t>.</w:t>
            </w:r>
          </w:p>
          <w:p w:rsidR="00493E92" w:rsidRPr="009302A2" w:rsidRDefault="00B52CEB" w:rsidP="00EF0E33">
            <w:r w:rsidRPr="00B52CEB">
              <w:rPr>
                <w:szCs w:val="28"/>
              </w:rPr>
              <w:t xml:space="preserve">This guideline relates specifically to the risks to human life and safety from tsunami hazards, and is consistent with all plans and guidelines shown in </w:t>
            </w:r>
            <w:r w:rsidR="00EF0E33">
              <w:rPr>
                <w:szCs w:val="28"/>
              </w:rPr>
              <w:fldChar w:fldCharType="begin"/>
            </w:r>
            <w:r w:rsidR="00EF0E33">
              <w:rPr>
                <w:szCs w:val="28"/>
              </w:rPr>
              <w:instrText xml:space="preserve"> REF _Ref442784994 \h </w:instrText>
            </w:r>
            <w:r w:rsidR="00EF0E33">
              <w:rPr>
                <w:szCs w:val="28"/>
              </w:rPr>
            </w:r>
            <w:r w:rsidR="00EF0E33">
              <w:rPr>
                <w:szCs w:val="28"/>
              </w:rPr>
              <w:fldChar w:fldCharType="separate"/>
            </w:r>
            <w:r w:rsidR="009B2134" w:rsidRPr="00A44022">
              <w:t xml:space="preserve">Figure </w:t>
            </w:r>
            <w:r w:rsidR="009B2134">
              <w:rPr>
                <w:noProof/>
              </w:rPr>
              <w:t>1</w:t>
            </w:r>
            <w:r w:rsidR="00EF0E33">
              <w:rPr>
                <w:szCs w:val="28"/>
              </w:rPr>
              <w:fldChar w:fldCharType="end"/>
            </w:r>
            <w:r w:rsidRPr="00B52CEB">
              <w:rPr>
                <w:szCs w:val="28"/>
              </w:rPr>
              <w:t xml:space="preserve">. The triggering of evacuation during a warning (natural or official) follows the flow diagrams given in the ‘Triggering Evacuation’ section. Risks to property and </w:t>
            </w:r>
            <w:r w:rsidRPr="00B52CEB">
              <w:t xml:space="preserve">infrastructure from tsunami hazards are addressed </w:t>
            </w:r>
            <w:r w:rsidR="00F4085C">
              <w:t>within</w:t>
            </w:r>
            <w:r w:rsidRPr="00B52CEB">
              <w:t xml:space="preserve"> land use </w:t>
            </w:r>
            <w:r w:rsidR="00F4085C">
              <w:t xml:space="preserve">and asset management </w:t>
            </w:r>
            <w:r w:rsidRPr="00B52CEB">
              <w:t>planning</w:t>
            </w:r>
            <w:r w:rsidR="00F4085C">
              <w:t xml:space="preserve"> processes</w:t>
            </w:r>
            <w:r w:rsidRPr="00B52CEB">
              <w:t>.</w:t>
            </w:r>
          </w:p>
        </w:tc>
      </w:tr>
    </w:tbl>
    <w:p w:rsidR="00351418" w:rsidRDefault="00351418" w:rsidP="00A44022">
      <w:pPr>
        <w:pStyle w:val="LHcolumn"/>
        <w:sectPr w:rsidR="00351418" w:rsidSect="006312AD">
          <w:footerReference w:type="even" r:id="rId23"/>
          <w:footerReference w:type="default" r:id="rId24"/>
          <w:pgSz w:w="11907" w:h="16840" w:code="9"/>
          <w:pgMar w:top="1191" w:right="1021" w:bottom="794" w:left="1361" w:header="568" w:footer="340" w:gutter="0"/>
          <w:pgNumType w:start="1"/>
          <w:cols w:space="720"/>
          <w:docGrid w:linePitch="326"/>
        </w:sectPr>
      </w:pPr>
    </w:p>
    <w:p w:rsidR="00C60EE9" w:rsidRDefault="00E951AF" w:rsidP="00D66915">
      <w:pPr>
        <w:pStyle w:val="CaptionFigure"/>
        <w:keepNext/>
        <w:jc w:val="center"/>
      </w:pPr>
      <w:r>
        <w:rPr>
          <w:b/>
          <w:noProof/>
          <w:lang w:eastAsia="en-NZ"/>
        </w:rPr>
        <w:lastRenderedPageBreak/>
        <w:drawing>
          <wp:inline distT="0" distB="0" distL="0" distR="0" wp14:anchorId="653D4E9A" wp14:editId="7BFD5996">
            <wp:extent cx="8651029" cy="5685183"/>
            <wp:effectExtent l="0" t="0" r="0" b="0"/>
            <wp:docPr id="11" name="Picture 11" descr="This image shows the relationship of this guideline to tsunami warning and evacuation planning in New Zealand, including the National C D E M Pland and Guide, the National Warning System and National Tsunami Advisory and Warning Plan, the Pacific Tsunami Warning Center, and GeoNet."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01 fina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651691" cy="5685618"/>
                    </a:xfrm>
                    <a:prstGeom prst="rect">
                      <a:avLst/>
                    </a:prstGeom>
                  </pic:spPr>
                </pic:pic>
              </a:graphicData>
            </a:graphic>
          </wp:inline>
        </w:drawing>
      </w:r>
    </w:p>
    <w:p w:rsidR="00C60EE9" w:rsidRPr="00A44022" w:rsidRDefault="00C60EE9" w:rsidP="00A44022">
      <w:pPr>
        <w:pStyle w:val="Caption"/>
      </w:pPr>
      <w:bookmarkStart w:id="12" w:name="_Ref442784994"/>
      <w:r w:rsidRPr="00A44022">
        <w:t xml:space="preserve">Figure </w:t>
      </w:r>
      <w:fldSimple w:instr=" SEQ Figure \* ARABIC ">
        <w:r w:rsidR="009B2134">
          <w:rPr>
            <w:noProof/>
          </w:rPr>
          <w:t>1</w:t>
        </w:r>
      </w:fldSimple>
      <w:bookmarkEnd w:id="12"/>
      <w:r w:rsidRPr="00A44022">
        <w:t xml:space="preserve"> Relationship of this guideline to tsunami warning and evacuation planning in NZ</w:t>
      </w:r>
    </w:p>
    <w:p w:rsidR="00351418" w:rsidRDefault="00351418" w:rsidP="00A44022">
      <w:pPr>
        <w:pStyle w:val="Heading2"/>
        <w:spacing w:before="360"/>
        <w:sectPr w:rsidR="00351418" w:rsidSect="00DF1E96">
          <w:pgSz w:w="16840" w:h="11907" w:orient="landscape" w:code="9"/>
          <w:pgMar w:top="1361" w:right="1191" w:bottom="1021" w:left="794" w:header="568" w:footer="340" w:gutter="0"/>
          <w:cols w:space="720"/>
          <w:docGrid w:linePitch="326"/>
        </w:sectPr>
      </w:pPr>
    </w:p>
    <w:p w:rsidR="00103825" w:rsidRDefault="00EC0217" w:rsidP="00A44022">
      <w:pPr>
        <w:pStyle w:val="Heading2"/>
      </w:pPr>
      <w:bookmarkStart w:id="13" w:name="_Toc443381802"/>
      <w:r>
        <w:lastRenderedPageBreak/>
        <w:t>Key</w:t>
      </w:r>
      <w:r w:rsidR="00103825">
        <w:t xml:space="preserve"> </w:t>
      </w:r>
      <w:r w:rsidR="00721D6A">
        <w:t>terms</w:t>
      </w:r>
      <w:bookmarkEnd w:id="13"/>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EC0217" w:rsidTr="009C0113">
        <w:tc>
          <w:tcPr>
            <w:tcW w:w="1928" w:type="dxa"/>
            <w:tcMar>
              <w:right w:w="227" w:type="dxa"/>
            </w:tcMar>
          </w:tcPr>
          <w:p w:rsidR="00EC0217" w:rsidRPr="009C0113" w:rsidRDefault="00EC0217" w:rsidP="00A44022">
            <w:pPr>
              <w:pStyle w:val="LHcolumn"/>
              <w:rPr>
                <w:noProof/>
              </w:rPr>
            </w:pPr>
          </w:p>
        </w:tc>
        <w:tc>
          <w:tcPr>
            <w:tcW w:w="7711" w:type="dxa"/>
          </w:tcPr>
          <w:p w:rsidR="00255165" w:rsidRDefault="00EC0217" w:rsidP="00A44022">
            <w:pPr>
              <w:rPr>
                <w:rFonts w:cs="Arial"/>
              </w:rPr>
            </w:pPr>
            <w:r w:rsidRPr="0057135A">
              <w:rPr>
                <w:rFonts w:cs="Arial"/>
              </w:rPr>
              <w:t xml:space="preserve">This section provides clarification for </w:t>
            </w:r>
            <w:r w:rsidR="00255165" w:rsidRPr="0057135A">
              <w:rPr>
                <w:rFonts w:cs="Arial"/>
              </w:rPr>
              <w:t xml:space="preserve">some of the </w:t>
            </w:r>
            <w:r w:rsidRPr="0057135A">
              <w:rPr>
                <w:rFonts w:cs="Arial"/>
              </w:rPr>
              <w:t xml:space="preserve">key terms used in this </w:t>
            </w:r>
            <w:r w:rsidR="00255165" w:rsidRPr="0057135A">
              <w:rPr>
                <w:rFonts w:cs="Arial"/>
              </w:rPr>
              <w:t>guideline.</w:t>
            </w:r>
          </w:p>
          <w:p w:rsidR="00C60EE9" w:rsidRPr="0057135A" w:rsidRDefault="00C60EE9" w:rsidP="00A44022">
            <w:pPr>
              <w:pStyle w:val="Spacer"/>
            </w:pPr>
          </w:p>
        </w:tc>
      </w:tr>
      <w:tr w:rsidR="00921BB9" w:rsidTr="000D2C4B">
        <w:tc>
          <w:tcPr>
            <w:tcW w:w="1928" w:type="dxa"/>
            <w:tcMar>
              <w:right w:w="227" w:type="dxa"/>
            </w:tcMar>
          </w:tcPr>
          <w:p w:rsidR="00921BB9" w:rsidRDefault="00921BB9" w:rsidP="00A44022">
            <w:pPr>
              <w:pStyle w:val="LHcolumn"/>
            </w:pPr>
            <w:r w:rsidRPr="00AA5CFC">
              <w:rPr>
                <w:noProof/>
              </w:rPr>
              <w:drawing>
                <wp:anchor distT="0" distB="0" distL="114300" distR="114300" simplePos="0" relativeHeight="251728896" behindDoc="1" locked="0" layoutInCell="1" allowOverlap="0" wp14:anchorId="4162C20F" wp14:editId="04BB88F4">
                  <wp:simplePos x="0" y="0"/>
                  <wp:positionH relativeFrom="column">
                    <wp:posOffset>1038860</wp:posOffset>
                  </wp:positionH>
                  <wp:positionV relativeFrom="paragraph">
                    <wp:posOffset>467995</wp:posOffset>
                  </wp:positionV>
                  <wp:extent cx="4991100" cy="2362200"/>
                  <wp:effectExtent l="0" t="0" r="0" b="0"/>
                  <wp:wrapNone/>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egislation box.png"/>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4991100" cy="2362200"/>
                          </a:xfrm>
                          <a:prstGeom prst="rect">
                            <a:avLst/>
                          </a:prstGeom>
                        </pic:spPr>
                      </pic:pic>
                    </a:graphicData>
                  </a:graphic>
                  <wp14:sizeRelH relativeFrom="margin">
                    <wp14:pctWidth>0</wp14:pctWidth>
                  </wp14:sizeRelH>
                  <wp14:sizeRelV relativeFrom="margin">
                    <wp14:pctHeight>0</wp14:pctHeight>
                  </wp14:sizeRelV>
                </wp:anchor>
              </w:drawing>
            </w:r>
            <w:r w:rsidRPr="00AA5CFC">
              <w:t>CDEM</w:t>
            </w:r>
          </w:p>
        </w:tc>
        <w:tc>
          <w:tcPr>
            <w:tcW w:w="7711" w:type="dxa"/>
          </w:tcPr>
          <w:p w:rsidR="00921BB9" w:rsidRPr="00AA5CFC" w:rsidRDefault="00921BB9" w:rsidP="00A44022">
            <w:r w:rsidRPr="00AA5CFC">
              <w:t xml:space="preserve">In this document, </w:t>
            </w:r>
            <w:r w:rsidRPr="00AA5CFC">
              <w:rPr>
                <w:b/>
              </w:rPr>
              <w:t>Civil Defence Emergency Management (CDEM)</w:t>
            </w:r>
            <w:r w:rsidRPr="00AA5CFC">
              <w:t xml:space="preserve"> has the same meaning as in the </w:t>
            </w:r>
            <w:r w:rsidRPr="00AA5CFC">
              <w:rPr>
                <w:i/>
              </w:rPr>
              <w:t>CDEM Act 2002</w:t>
            </w:r>
            <w:r w:rsidRPr="00AA5CFC">
              <w:t>:</w:t>
            </w:r>
          </w:p>
          <w:p w:rsidR="00921BB9" w:rsidRPr="00AA5CFC" w:rsidRDefault="00921BB9" w:rsidP="00A44022">
            <w:pPr>
              <w:pStyle w:val="Legalnumberingsection"/>
            </w:pPr>
            <w:r>
              <w:t>Interpretation…</w:t>
            </w:r>
          </w:p>
          <w:p w:rsidR="00921BB9" w:rsidRPr="00AA5CFC" w:rsidRDefault="00921BB9" w:rsidP="00A44022">
            <w:r w:rsidRPr="00780F38">
              <w:rPr>
                <w:b/>
              </w:rPr>
              <w:t>civil defence emergency management</w:t>
            </w:r>
            <w:r w:rsidRPr="00AA5CFC">
              <w:t>—</w:t>
            </w:r>
          </w:p>
          <w:p w:rsidR="00921BB9" w:rsidRPr="00AA5CFC" w:rsidRDefault="00921BB9" w:rsidP="00A44022">
            <w:pPr>
              <w:numPr>
                <w:ilvl w:val="1"/>
                <w:numId w:val="39"/>
              </w:numPr>
              <w:spacing w:before="60" w:after="60" w:line="271" w:lineRule="auto"/>
              <w:rPr>
                <w:bCs/>
              </w:rPr>
            </w:pPr>
            <w:r w:rsidRPr="00AA5CFC">
              <w:rPr>
                <w:bCs/>
              </w:rPr>
              <w:t>means the application of knowledge, measures, and practices that—</w:t>
            </w:r>
          </w:p>
          <w:p w:rsidR="00921BB9" w:rsidRPr="00AA5CFC" w:rsidRDefault="00921BB9" w:rsidP="00A44022">
            <w:pPr>
              <w:numPr>
                <w:ilvl w:val="2"/>
                <w:numId w:val="9"/>
              </w:numPr>
              <w:spacing w:before="60" w:after="60" w:line="271" w:lineRule="auto"/>
              <w:rPr>
                <w:bCs/>
              </w:rPr>
            </w:pPr>
            <w:r w:rsidRPr="00AA5CFC">
              <w:rPr>
                <w:bCs/>
              </w:rPr>
              <w:t>are necessary or desirable for the safety of the public or property; and</w:t>
            </w:r>
          </w:p>
          <w:p w:rsidR="00921BB9" w:rsidRPr="00AA5CFC" w:rsidRDefault="00921BB9" w:rsidP="00A44022">
            <w:pPr>
              <w:numPr>
                <w:ilvl w:val="2"/>
                <w:numId w:val="9"/>
              </w:numPr>
              <w:spacing w:before="60" w:after="60" w:line="271" w:lineRule="auto"/>
              <w:rPr>
                <w:bCs/>
              </w:rPr>
            </w:pPr>
            <w:r w:rsidRPr="00AA5CFC">
              <w:rPr>
                <w:bCs/>
              </w:rPr>
              <w:t>are designed to guard against, prevent, reduce, or overcome any hazard or harm or loss that may be associated with any emergency; and</w:t>
            </w:r>
          </w:p>
          <w:p w:rsidR="00921BB9" w:rsidRPr="009302A2" w:rsidRDefault="00921BB9" w:rsidP="00A44022">
            <w:pPr>
              <w:numPr>
                <w:ilvl w:val="2"/>
                <w:numId w:val="9"/>
              </w:numPr>
              <w:spacing w:before="60" w:after="240" w:line="271" w:lineRule="auto"/>
              <w:ind w:left="1077" w:hanging="357"/>
              <w:rPr>
                <w:bCs/>
              </w:rPr>
            </w:pPr>
            <w:proofErr w:type="gramStart"/>
            <w:r w:rsidRPr="00AA5CFC">
              <w:rPr>
                <w:bCs/>
              </w:rPr>
              <w:t>includes</w:t>
            </w:r>
            <w:proofErr w:type="gramEnd"/>
            <w:r w:rsidRPr="00AA5CFC">
              <w:rPr>
                <w:bCs/>
              </w:rPr>
              <w:t>, without limitation, the planning, organisation, co-ordination, and implementation of those measures, knowledge, and practices.</w:t>
            </w:r>
          </w:p>
        </w:tc>
      </w:tr>
      <w:tr w:rsidR="00921BB9" w:rsidTr="000D2C4B">
        <w:tc>
          <w:tcPr>
            <w:tcW w:w="1928" w:type="dxa"/>
            <w:tcMar>
              <w:right w:w="227" w:type="dxa"/>
            </w:tcMar>
          </w:tcPr>
          <w:p w:rsidR="00921BB9" w:rsidRDefault="00921BB9" w:rsidP="00A44022">
            <w:pPr>
              <w:pStyle w:val="LHcolumn"/>
            </w:pPr>
          </w:p>
        </w:tc>
        <w:tc>
          <w:tcPr>
            <w:tcW w:w="7711" w:type="dxa"/>
          </w:tcPr>
          <w:p w:rsidR="00921BB9" w:rsidRDefault="00921BB9" w:rsidP="00A44022">
            <w:r w:rsidRPr="005155FF">
              <w:t xml:space="preserve">A full description of CDEM (including a full glossary of terms and abbreviations) is provided in the </w:t>
            </w:r>
            <w:r w:rsidRPr="005155FF">
              <w:rPr>
                <w:i/>
              </w:rPr>
              <w:t>Guide to the National CDEM Plan</w:t>
            </w:r>
            <w:r w:rsidRPr="005155FF">
              <w:t xml:space="preserve">, available at </w:t>
            </w:r>
            <w:hyperlink r:id="rId27" w:history="1">
              <w:r w:rsidRPr="005155FF">
                <w:rPr>
                  <w:color w:val="005A9B" w:themeColor="background2"/>
                  <w:u w:val="single"/>
                </w:rPr>
                <w:t>www.civildefence.govt.nz</w:t>
              </w:r>
            </w:hyperlink>
            <w:r w:rsidRPr="005155FF">
              <w:t xml:space="preserve"> by searching the document name.</w:t>
            </w:r>
          </w:p>
          <w:p w:rsidR="00921BB9" w:rsidRPr="005155FF" w:rsidRDefault="00921BB9" w:rsidP="00A44022">
            <w:pPr>
              <w:pStyle w:val="Spacer"/>
            </w:pPr>
          </w:p>
        </w:tc>
      </w:tr>
      <w:tr w:rsidR="00921BB9" w:rsidTr="000D2C4B">
        <w:tc>
          <w:tcPr>
            <w:tcW w:w="1928" w:type="dxa"/>
            <w:tcMar>
              <w:right w:w="227" w:type="dxa"/>
            </w:tcMar>
          </w:tcPr>
          <w:p w:rsidR="00921BB9" w:rsidRPr="00245A53" w:rsidRDefault="00921BB9" w:rsidP="00A44022">
            <w:pPr>
              <w:pStyle w:val="LHcolumn"/>
              <w:rPr>
                <w:highlight w:val="green"/>
              </w:rPr>
            </w:pPr>
            <w:r w:rsidRPr="00913D86">
              <w:rPr>
                <w:b w:val="0"/>
                <w:noProof/>
                <w:sz w:val="20"/>
              </w:rPr>
              <w:drawing>
                <wp:anchor distT="0" distB="0" distL="114300" distR="114300" simplePos="0" relativeHeight="251730944" behindDoc="1" locked="0" layoutInCell="1" allowOverlap="0" wp14:anchorId="2981A167" wp14:editId="6D19BF10">
                  <wp:simplePos x="0" y="0"/>
                  <wp:positionH relativeFrom="column">
                    <wp:posOffset>1114016</wp:posOffset>
                  </wp:positionH>
                  <wp:positionV relativeFrom="paragraph">
                    <wp:posOffset>441960</wp:posOffset>
                  </wp:positionV>
                  <wp:extent cx="4990465" cy="2990850"/>
                  <wp:effectExtent l="0" t="0" r="635" b="0"/>
                  <wp:wrapNone/>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90465" cy="2990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3D86">
              <w:t>Emergency</w:t>
            </w:r>
          </w:p>
        </w:tc>
        <w:tc>
          <w:tcPr>
            <w:tcW w:w="7711" w:type="dxa"/>
          </w:tcPr>
          <w:p w:rsidR="00921BB9" w:rsidRPr="00913D86" w:rsidRDefault="00921BB9" w:rsidP="00A44022">
            <w:r w:rsidRPr="00913D86">
              <w:t>In this document</w:t>
            </w:r>
            <w:r>
              <w:t xml:space="preserve">, </w:t>
            </w:r>
            <w:r w:rsidRPr="00E0127A">
              <w:rPr>
                <w:b/>
              </w:rPr>
              <w:t>emergency</w:t>
            </w:r>
            <w:r w:rsidRPr="00913D86">
              <w:t xml:space="preserve"> has the same meaning as in the </w:t>
            </w:r>
            <w:r w:rsidRPr="00913D86">
              <w:rPr>
                <w:i/>
              </w:rPr>
              <w:t>CDEM Act 2002</w:t>
            </w:r>
            <w:r w:rsidRPr="00913D86">
              <w:t>:</w:t>
            </w:r>
          </w:p>
          <w:p w:rsidR="00921BB9" w:rsidRPr="00780F38" w:rsidRDefault="00921BB9" w:rsidP="00A44022">
            <w:pPr>
              <w:pStyle w:val="Legalnumberingsection"/>
              <w:numPr>
                <w:ilvl w:val="0"/>
                <w:numId w:val="40"/>
              </w:numPr>
              <w:spacing w:before="240"/>
              <w:ind w:left="357" w:hanging="357"/>
            </w:pPr>
            <w:r w:rsidRPr="00780F38">
              <w:t>Interpretation…</w:t>
            </w:r>
          </w:p>
          <w:p w:rsidR="00921BB9" w:rsidRPr="00913D86" w:rsidRDefault="00921BB9" w:rsidP="00A44022">
            <w:r w:rsidRPr="00913D86">
              <w:rPr>
                <w:b/>
              </w:rPr>
              <w:t>emergency</w:t>
            </w:r>
            <w:r w:rsidRPr="00913D86">
              <w:t xml:space="preserve"> means a situation that</w:t>
            </w:r>
            <w:r w:rsidRPr="00AA5CFC">
              <w:t>—</w:t>
            </w:r>
          </w:p>
          <w:p w:rsidR="00921BB9" w:rsidRPr="00780F38" w:rsidRDefault="00921BB9" w:rsidP="00A44022">
            <w:pPr>
              <w:pStyle w:val="Numbering"/>
              <w:numPr>
                <w:ilvl w:val="0"/>
                <w:numId w:val="41"/>
              </w:numPr>
            </w:pPr>
            <w:r w:rsidRPr="00780F38">
              <w:t>is the result of any happening, whether natural or otherwise, including, without limitation, any explosion, earthquake, eruption, tsunami, land movement, flood, storm, tornado, cyclone, serious fire, leakage or spillage of any dangerous gas or substance, technological failure, infestation, plague, epidemic, failure of or disruption to an emergency service or a lifeline utility, or actual or imminent attack or warlike act; and</w:t>
            </w:r>
          </w:p>
          <w:p w:rsidR="00921BB9" w:rsidRPr="00780F38" w:rsidRDefault="00921BB9" w:rsidP="00A44022">
            <w:pPr>
              <w:pStyle w:val="Numbering"/>
              <w:numPr>
                <w:ilvl w:val="0"/>
                <w:numId w:val="41"/>
              </w:numPr>
            </w:pPr>
            <w:r w:rsidRPr="00780F38">
              <w:t>causes or may cause loss of life or injury or illness or distress or in any way endangers the safety of the public or property in New Zealand or any part of New Zealand; and</w:t>
            </w:r>
          </w:p>
          <w:p w:rsidR="00921BB9" w:rsidRPr="009302A2" w:rsidRDefault="00921BB9" w:rsidP="00A44022">
            <w:pPr>
              <w:pStyle w:val="Numbering"/>
              <w:numPr>
                <w:ilvl w:val="0"/>
                <w:numId w:val="41"/>
              </w:numPr>
              <w:spacing w:after="240"/>
              <w:ind w:left="714" w:hanging="357"/>
            </w:pPr>
            <w:proofErr w:type="gramStart"/>
            <w:r w:rsidRPr="00780F38">
              <w:t>cannot</w:t>
            </w:r>
            <w:proofErr w:type="gramEnd"/>
            <w:r w:rsidRPr="00780F38">
              <w:t xml:space="preserve"> be dealt with by emergency services, or otherwise requires a significant and co-ordinated response under this Act.</w:t>
            </w:r>
          </w:p>
        </w:tc>
      </w:tr>
    </w:tbl>
    <w:p w:rsidR="00953989" w:rsidRDefault="00953989" w:rsidP="00A44022"/>
    <w:p w:rsidR="00953989" w:rsidRDefault="00953989" w:rsidP="00A44022">
      <w:pPr>
        <w:spacing w:before="0" w:after="0" w:line="240" w:lineRule="auto"/>
      </w:pPr>
      <w:r>
        <w:br w:type="page"/>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921BB9" w:rsidTr="000D2C4B">
        <w:tc>
          <w:tcPr>
            <w:tcW w:w="1928" w:type="dxa"/>
            <w:tcMar>
              <w:right w:w="227" w:type="dxa"/>
            </w:tcMar>
          </w:tcPr>
          <w:p w:rsidR="00921BB9" w:rsidRPr="00913D86" w:rsidRDefault="00921BB9" w:rsidP="00A44022">
            <w:pPr>
              <w:pStyle w:val="LHcolumn"/>
              <w:rPr>
                <w:b w:val="0"/>
                <w:noProof/>
                <w:sz w:val="20"/>
              </w:rPr>
            </w:pPr>
            <w:r>
              <w:lastRenderedPageBreak/>
              <w:t xml:space="preserve">The </w:t>
            </w:r>
            <w:r w:rsidRPr="00433BC8">
              <w:t>4Rs</w:t>
            </w:r>
          </w:p>
        </w:tc>
        <w:tc>
          <w:tcPr>
            <w:tcW w:w="7711" w:type="dxa"/>
          </w:tcPr>
          <w:p w:rsidR="00921BB9" w:rsidRPr="007C20DB" w:rsidRDefault="00921BB9" w:rsidP="00A44022">
            <w:pPr>
              <w:rPr>
                <w:szCs w:val="20"/>
              </w:rPr>
            </w:pPr>
            <w:r>
              <w:rPr>
                <w:szCs w:val="20"/>
              </w:rPr>
              <w:t>The 4Rs</w:t>
            </w:r>
            <w:r w:rsidRPr="007C20DB">
              <w:rPr>
                <w:szCs w:val="20"/>
              </w:rPr>
              <w:t xml:space="preserve"> of emergency management are</w:t>
            </w:r>
            <w:r>
              <w:rPr>
                <w:szCs w:val="20"/>
              </w:rPr>
              <w:t xml:space="preserve"> reduction, readiness, response, and recovery.</w:t>
            </w:r>
          </w:p>
          <w:p w:rsidR="00921BB9" w:rsidRPr="00A22403" w:rsidRDefault="00921BB9" w:rsidP="00A44022">
            <w:pPr>
              <w:rPr>
                <w:szCs w:val="20"/>
              </w:rPr>
            </w:pPr>
            <w:r w:rsidRPr="007C20DB">
              <w:rPr>
                <w:b/>
                <w:szCs w:val="20"/>
              </w:rPr>
              <w:t>Reduction</w:t>
            </w:r>
            <w:r>
              <w:rPr>
                <w:szCs w:val="20"/>
              </w:rPr>
              <w:t xml:space="preserve"> means </w:t>
            </w:r>
            <w:r w:rsidRPr="00A22403">
              <w:t>identifying and analysing long-term risks to</w:t>
            </w:r>
            <w:r>
              <w:t xml:space="preserve"> </w:t>
            </w:r>
            <w:r w:rsidRPr="00A22403">
              <w:t>human life and property from natural or non-natural</w:t>
            </w:r>
            <w:r>
              <w:t xml:space="preserve"> hazards,</w:t>
            </w:r>
            <w:r w:rsidRPr="00A22403">
              <w:t xml:space="preserve"> taking steps to eliminate these risks if practicable,</w:t>
            </w:r>
            <w:r>
              <w:t xml:space="preserve"> </w:t>
            </w:r>
            <w:r w:rsidRPr="00A22403">
              <w:t>and, if not, reducing the magnitude of their impact and the likelihood of their occurring</w:t>
            </w:r>
            <w:r>
              <w:t>.</w:t>
            </w:r>
          </w:p>
          <w:p w:rsidR="00921BB9" w:rsidRPr="00A22403" w:rsidRDefault="00921BB9" w:rsidP="00A44022">
            <w:r w:rsidRPr="007C20DB">
              <w:rPr>
                <w:b/>
                <w:szCs w:val="20"/>
              </w:rPr>
              <w:t>Readiness</w:t>
            </w:r>
            <w:r w:rsidRPr="006439FE">
              <w:rPr>
                <w:szCs w:val="20"/>
              </w:rPr>
              <w:t xml:space="preserve"> </w:t>
            </w:r>
            <w:r>
              <w:rPr>
                <w:szCs w:val="20"/>
              </w:rPr>
              <w:t>means</w:t>
            </w:r>
            <w:r w:rsidRPr="006439FE">
              <w:rPr>
                <w:szCs w:val="20"/>
              </w:rPr>
              <w:t xml:space="preserve"> </w:t>
            </w:r>
            <w:r w:rsidRPr="00A22403">
              <w:t>developing operational systems and capabilities</w:t>
            </w:r>
            <w:r>
              <w:t xml:space="preserve"> </w:t>
            </w:r>
            <w:r w:rsidRPr="00A22403">
              <w:t>before a</w:t>
            </w:r>
            <w:r>
              <w:t xml:space="preserve">n </w:t>
            </w:r>
            <w:r w:rsidRPr="00A22403">
              <w:t>emergency happens, including</w:t>
            </w:r>
            <w:r>
              <w:t xml:space="preserve"> </w:t>
            </w:r>
            <w:r w:rsidRPr="00A22403">
              <w:t>self-help and response programmes for the general</w:t>
            </w:r>
            <w:r>
              <w:t xml:space="preserve"> </w:t>
            </w:r>
            <w:r w:rsidRPr="00A22403">
              <w:t>public, and specific programmes for emergency services,</w:t>
            </w:r>
            <w:r>
              <w:t xml:space="preserve"> </w:t>
            </w:r>
            <w:r w:rsidRPr="00A22403">
              <w:t>lifeline utilities, and other agencies</w:t>
            </w:r>
            <w:r>
              <w:t>.</w:t>
            </w:r>
          </w:p>
          <w:p w:rsidR="00921BB9" w:rsidRPr="00A22403" w:rsidRDefault="00921BB9" w:rsidP="00A44022">
            <w:r w:rsidRPr="007C20DB">
              <w:rPr>
                <w:b/>
                <w:szCs w:val="20"/>
              </w:rPr>
              <w:t>Response</w:t>
            </w:r>
            <w:r w:rsidRPr="006439FE">
              <w:rPr>
                <w:szCs w:val="20"/>
              </w:rPr>
              <w:t xml:space="preserve"> </w:t>
            </w:r>
            <w:r>
              <w:rPr>
                <w:szCs w:val="20"/>
              </w:rPr>
              <w:t>means</w:t>
            </w:r>
            <w:r w:rsidRPr="006439FE">
              <w:rPr>
                <w:szCs w:val="20"/>
              </w:rPr>
              <w:t xml:space="preserve"> </w:t>
            </w:r>
            <w:r w:rsidRPr="00A22403">
              <w:t>actions taken immediately before, during, or</w:t>
            </w:r>
            <w:r>
              <w:t xml:space="preserve"> </w:t>
            </w:r>
            <w:r w:rsidRPr="00A22403">
              <w:t>directly after a</w:t>
            </w:r>
            <w:r>
              <w:t>n</w:t>
            </w:r>
            <w:r w:rsidRPr="00A22403">
              <w:t xml:space="preserve"> emergency to save lives</w:t>
            </w:r>
            <w:r>
              <w:t xml:space="preserve"> </w:t>
            </w:r>
            <w:r w:rsidRPr="00A22403">
              <w:t>and property, and to help communities recover.</w:t>
            </w:r>
          </w:p>
          <w:p w:rsidR="00921BB9" w:rsidRDefault="00921BB9" w:rsidP="00A44022">
            <w:r w:rsidRPr="007C20DB">
              <w:rPr>
                <w:b/>
                <w:szCs w:val="20"/>
              </w:rPr>
              <w:t>Recovery</w:t>
            </w:r>
            <w:r w:rsidRPr="006439FE">
              <w:rPr>
                <w:szCs w:val="20"/>
              </w:rPr>
              <w:t xml:space="preserve"> </w:t>
            </w:r>
            <w:r>
              <w:rPr>
                <w:szCs w:val="20"/>
              </w:rPr>
              <w:t>means</w:t>
            </w:r>
            <w:r w:rsidRPr="006439FE">
              <w:rPr>
                <w:szCs w:val="20"/>
              </w:rPr>
              <w:t xml:space="preserve"> </w:t>
            </w:r>
            <w:r>
              <w:t>the coordinated efforts and processes used to bring about the immediate, medium-term, and long-term holistic regeneration of a community following an emergency.</w:t>
            </w:r>
          </w:p>
          <w:p w:rsidR="00953989" w:rsidRPr="00913D86" w:rsidRDefault="00953989" w:rsidP="00A44022">
            <w:pPr>
              <w:pStyle w:val="Spacer"/>
            </w:pPr>
          </w:p>
        </w:tc>
      </w:tr>
      <w:tr w:rsidR="00921BB9" w:rsidTr="000D2C4B">
        <w:tc>
          <w:tcPr>
            <w:tcW w:w="1928" w:type="dxa"/>
            <w:tcMar>
              <w:right w:w="227" w:type="dxa"/>
            </w:tcMar>
          </w:tcPr>
          <w:p w:rsidR="00921BB9" w:rsidRDefault="00921BB9" w:rsidP="00A44022">
            <w:pPr>
              <w:pStyle w:val="LHcolumn"/>
            </w:pPr>
            <w:r>
              <w:t>MCDEM</w:t>
            </w:r>
          </w:p>
        </w:tc>
        <w:tc>
          <w:tcPr>
            <w:tcW w:w="7711" w:type="dxa"/>
          </w:tcPr>
          <w:p w:rsidR="00921BB9" w:rsidRDefault="00921BB9" w:rsidP="00A44022">
            <w:r w:rsidRPr="001326AB">
              <w:rPr>
                <w:b/>
              </w:rPr>
              <w:t>Ministry of Civil Defence &amp; Emergency Management (MCDEM</w:t>
            </w:r>
            <w:r>
              <w:rPr>
                <w:b/>
              </w:rPr>
              <w:t xml:space="preserve">) </w:t>
            </w:r>
            <w:r>
              <w:t xml:space="preserve">is the central government agency responsible for providing leadership, strategic guidance, national coordination, and the facilitation and promotion of various key activities across the 4Rs. It is the lead agency at a national level responsible for coordinating the management of the emergencies listed in the </w:t>
            </w:r>
            <w:r w:rsidRPr="0091677B">
              <w:rPr>
                <w:i/>
              </w:rPr>
              <w:t>National CDEM Plan</w:t>
            </w:r>
            <w:r w:rsidR="000A385E">
              <w:t>.</w:t>
            </w:r>
          </w:p>
          <w:p w:rsidR="00921BB9" w:rsidRDefault="00921BB9" w:rsidP="00A44022">
            <w:r>
              <w:t>MCDEM may act as a support agency by coordinating the CDEM response to any given emergency managed by another lead agency. MCDEM is responsible for maintaining the National Crisis Management Centre (NCMC), and the National Warning System.</w:t>
            </w:r>
          </w:p>
          <w:p w:rsidR="00953989" w:rsidRPr="00921BB9" w:rsidRDefault="00953989" w:rsidP="00A44022">
            <w:pPr>
              <w:pStyle w:val="Spacer"/>
            </w:pPr>
          </w:p>
        </w:tc>
      </w:tr>
      <w:tr w:rsidR="00921BB9" w:rsidTr="000D2C4B">
        <w:tc>
          <w:tcPr>
            <w:tcW w:w="1928" w:type="dxa"/>
            <w:tcMar>
              <w:right w:w="227" w:type="dxa"/>
            </w:tcMar>
          </w:tcPr>
          <w:p w:rsidR="00921BB9" w:rsidRDefault="00921BB9" w:rsidP="00A44022">
            <w:pPr>
              <w:pStyle w:val="LHcolumn"/>
            </w:pPr>
            <w:r>
              <w:t>CDEM Group</w:t>
            </w:r>
          </w:p>
        </w:tc>
        <w:tc>
          <w:tcPr>
            <w:tcW w:w="7711" w:type="dxa"/>
          </w:tcPr>
          <w:p w:rsidR="00921BB9" w:rsidRPr="00792B89" w:rsidRDefault="00921BB9" w:rsidP="00A44022">
            <w:r w:rsidRPr="00792B89">
              <w:t xml:space="preserve">In this guideline, </w:t>
            </w:r>
            <w:r w:rsidRPr="00792B89">
              <w:rPr>
                <w:b/>
              </w:rPr>
              <w:t>CDEM Group</w:t>
            </w:r>
            <w:r w:rsidRPr="00792B89">
              <w:t xml:space="preserve"> refers to the collective of local authorities, emergency services, and other agencies that work together to</w:t>
            </w:r>
            <w:r>
              <w:t xml:space="preserve"> implement CDEM in their area. </w:t>
            </w:r>
            <w:r w:rsidRPr="00792B89">
              <w:rPr>
                <w:b/>
              </w:rPr>
              <w:t>CDEM Group</w:t>
            </w:r>
            <w:r w:rsidRPr="00792B89">
              <w:t xml:space="preserve"> may also refer to the committee of elected officials that are accountable for CDEM in their area.</w:t>
            </w:r>
          </w:p>
          <w:p w:rsidR="00921BB9" w:rsidRPr="00792B89" w:rsidRDefault="00921BB9" w:rsidP="00A44022">
            <w:r w:rsidRPr="00792B89">
              <w:t xml:space="preserve">CDEM Groups are required under the </w:t>
            </w:r>
            <w:r w:rsidRPr="00792B89">
              <w:rPr>
                <w:i/>
              </w:rPr>
              <w:t>CDEM Act 2002</w:t>
            </w:r>
            <w:r w:rsidRPr="006A4C57">
              <w:t>; every</w:t>
            </w:r>
            <w:r w:rsidRPr="00792B89">
              <w:t xml:space="preserve"> local authority is </w:t>
            </w:r>
            <w:r>
              <w:t>required to be a member of</w:t>
            </w:r>
            <w:r w:rsidR="000A385E">
              <w:t xml:space="preserve"> a CDEM Group.</w:t>
            </w:r>
          </w:p>
          <w:p w:rsidR="00921BB9" w:rsidRPr="00792B89" w:rsidRDefault="00921BB9" w:rsidP="00A44022">
            <w:r w:rsidRPr="00792B89">
              <w:t>There are 16 CDEM Groups in New Zealand. Each is responsible for CDEM in its area, including:</w:t>
            </w:r>
          </w:p>
          <w:p w:rsidR="00921BB9" w:rsidRPr="00792B89" w:rsidRDefault="00921BB9" w:rsidP="00A44022">
            <w:pPr>
              <w:pStyle w:val="Bullet"/>
            </w:pPr>
            <w:r w:rsidRPr="00792B89">
              <w:t>identifying and managing hazards and risks</w:t>
            </w:r>
          </w:p>
          <w:p w:rsidR="00921BB9" w:rsidRPr="00792B89" w:rsidRDefault="00921BB9" w:rsidP="00A44022">
            <w:pPr>
              <w:pStyle w:val="Bullet"/>
            </w:pPr>
            <w:r w:rsidRPr="00792B89">
              <w:t>providing the organisational structure and resources necessary (including suitably trained personnel) for the effective delivery of CDEM</w:t>
            </w:r>
          </w:p>
          <w:p w:rsidR="00921BB9" w:rsidRPr="00792B89" w:rsidRDefault="00921BB9" w:rsidP="00A44022">
            <w:pPr>
              <w:pStyle w:val="Bullet"/>
            </w:pPr>
            <w:r w:rsidRPr="00792B89">
              <w:t>undertaking CDEM readiness activities, including</w:t>
            </w:r>
            <w:r>
              <w:t xml:space="preserve"> raising public awareness about CDEM and</w:t>
            </w:r>
            <w:r w:rsidRPr="00792B89">
              <w:t xml:space="preserve"> </w:t>
            </w:r>
            <w:r>
              <w:t xml:space="preserve">preparing </w:t>
            </w:r>
            <w:r w:rsidRPr="00792B89">
              <w:t>a CDEM Group Plan</w:t>
            </w:r>
          </w:p>
          <w:p w:rsidR="00921BB9" w:rsidRPr="00792B89" w:rsidRDefault="00921BB9" w:rsidP="00A44022">
            <w:pPr>
              <w:pStyle w:val="Bullet"/>
            </w:pPr>
            <w:r w:rsidRPr="00792B89">
              <w:t>coordinating</w:t>
            </w:r>
            <w:r>
              <w:t xml:space="preserve"> or undertaking</w:t>
            </w:r>
            <w:r w:rsidRPr="00792B89">
              <w:t xml:space="preserve"> CDEM response</w:t>
            </w:r>
            <w:r>
              <w:t xml:space="preserve"> and recovery</w:t>
            </w:r>
            <w:r w:rsidRPr="00792B89">
              <w:t xml:space="preserve"> activities, and</w:t>
            </w:r>
          </w:p>
          <w:p w:rsidR="00921BB9" w:rsidRPr="009302A2" w:rsidRDefault="00921BB9" w:rsidP="00A44022">
            <w:pPr>
              <w:pStyle w:val="Bullet"/>
            </w:pPr>
            <w:proofErr w:type="gramStart"/>
            <w:r w:rsidRPr="00792B89">
              <w:t>providing</w:t>
            </w:r>
            <w:proofErr w:type="gramEnd"/>
            <w:r w:rsidRPr="00792B89">
              <w:t xml:space="preserve"> support and assistance to other CDEM Groups, if required.</w:t>
            </w:r>
          </w:p>
        </w:tc>
      </w:tr>
      <w:tr w:rsidR="00921BB9" w:rsidTr="000D2C4B">
        <w:tc>
          <w:tcPr>
            <w:tcW w:w="1928" w:type="dxa"/>
            <w:tcMar>
              <w:right w:w="227" w:type="dxa"/>
            </w:tcMar>
          </w:tcPr>
          <w:p w:rsidR="00921BB9" w:rsidRDefault="00921BB9" w:rsidP="00A44022">
            <w:pPr>
              <w:pStyle w:val="LHcolumn"/>
            </w:pPr>
            <w:r>
              <w:lastRenderedPageBreak/>
              <w:t>Agencies</w:t>
            </w:r>
          </w:p>
        </w:tc>
        <w:tc>
          <w:tcPr>
            <w:tcW w:w="7711" w:type="dxa"/>
          </w:tcPr>
          <w:p w:rsidR="006662B6" w:rsidRPr="00792B89" w:rsidRDefault="00921BB9" w:rsidP="00A44022">
            <w:r>
              <w:rPr>
                <w:b/>
                <w:bCs/>
              </w:rPr>
              <w:t xml:space="preserve">Agencies </w:t>
            </w:r>
            <w:r w:rsidRPr="007C3FA0">
              <w:rPr>
                <w:bCs/>
              </w:rPr>
              <w:t xml:space="preserve">are </w:t>
            </w:r>
            <w:r w:rsidRPr="007C3FA0">
              <w:t>government agenc</w:t>
            </w:r>
            <w:r>
              <w:t>ies (</w:t>
            </w:r>
            <w:r w:rsidRPr="007C3FA0">
              <w:t>including public service departments, non-public service departments, Crown entities, and Offices of Parliament</w:t>
            </w:r>
            <w:r>
              <w:t xml:space="preserve">), </w:t>
            </w:r>
            <w:r w:rsidRPr="007C3FA0">
              <w:t xml:space="preserve">non-governmental </w:t>
            </w:r>
            <w:r w:rsidRPr="007C19D6">
              <w:t xml:space="preserve">organisations, local government bodies, </w:t>
            </w:r>
            <w:r>
              <w:t xml:space="preserve">emergency services, </w:t>
            </w:r>
            <w:r w:rsidRPr="007C19D6">
              <w:t>and</w:t>
            </w:r>
            <w:r>
              <w:rPr>
                <w:b/>
                <w:bCs/>
              </w:rPr>
              <w:t xml:space="preserve"> </w:t>
            </w:r>
            <w:r w:rsidRPr="007C3FA0">
              <w:t>lifeline utilities.</w:t>
            </w:r>
          </w:p>
        </w:tc>
      </w:tr>
    </w:tbl>
    <w:p w:rsidR="00953989" w:rsidRDefault="00953989" w:rsidP="00A44022">
      <w:bookmarkStart w:id="14" w:name="_Ref418503957"/>
    </w:p>
    <w:p w:rsidR="003F0FE0" w:rsidRDefault="003F0FE0" w:rsidP="003F0FE0">
      <w:pPr>
        <w:pStyle w:val="Heading4"/>
      </w:pPr>
      <w:r>
        <w:t>Tsunami terms</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3F0FE0" w:rsidTr="00371B7E">
        <w:tc>
          <w:tcPr>
            <w:tcW w:w="1928" w:type="dxa"/>
            <w:tcMar>
              <w:right w:w="227" w:type="dxa"/>
            </w:tcMar>
          </w:tcPr>
          <w:p w:rsidR="003F0FE0" w:rsidRPr="009C0113" w:rsidRDefault="003F0FE0" w:rsidP="00371B7E">
            <w:pPr>
              <w:pStyle w:val="LHcolumn"/>
              <w:rPr>
                <w:noProof/>
              </w:rPr>
            </w:pPr>
          </w:p>
        </w:tc>
        <w:tc>
          <w:tcPr>
            <w:tcW w:w="7711" w:type="dxa"/>
          </w:tcPr>
          <w:p w:rsidR="003F0FE0" w:rsidRDefault="003F0FE0" w:rsidP="00371B7E">
            <w:pPr>
              <w:rPr>
                <w:rFonts w:cs="Arial"/>
              </w:rPr>
            </w:pPr>
            <w:r>
              <w:rPr>
                <w:rFonts w:cs="Arial"/>
              </w:rPr>
              <w:fldChar w:fldCharType="begin"/>
            </w:r>
            <w:r>
              <w:rPr>
                <w:rFonts w:cs="Arial"/>
              </w:rPr>
              <w:instrText xml:space="preserve"> REF _Ref442785024 \h </w:instrText>
            </w:r>
            <w:r>
              <w:rPr>
                <w:rFonts w:cs="Arial"/>
              </w:rPr>
            </w:r>
            <w:r>
              <w:rPr>
                <w:rFonts w:cs="Arial"/>
              </w:rPr>
              <w:fldChar w:fldCharType="separate"/>
            </w:r>
            <w:r w:rsidR="009B2134" w:rsidRPr="00A44022">
              <w:t xml:space="preserve">Figure </w:t>
            </w:r>
            <w:r w:rsidR="009B2134">
              <w:rPr>
                <w:noProof/>
              </w:rPr>
              <w:t>2</w:t>
            </w:r>
            <w:r>
              <w:rPr>
                <w:rFonts w:cs="Arial"/>
              </w:rPr>
              <w:fldChar w:fldCharType="end"/>
            </w:r>
            <w:r>
              <w:rPr>
                <w:rFonts w:cs="Arial"/>
              </w:rPr>
              <w:t xml:space="preserve"> below shows the key terminology related to tsunami.</w:t>
            </w:r>
          </w:p>
          <w:p w:rsidR="003F0FE0" w:rsidRDefault="003F0FE0" w:rsidP="003F0FE0">
            <w:pPr>
              <w:pStyle w:val="CaptionFigure"/>
              <w:keepNext/>
              <w:jc w:val="left"/>
            </w:pPr>
            <w:r>
              <w:rPr>
                <w:noProof/>
                <w:lang w:eastAsia="en-NZ"/>
              </w:rPr>
              <w:drawing>
                <wp:inline distT="0" distB="0" distL="0" distR="0" wp14:anchorId="2A42A4B8" wp14:editId="59B5F9CA">
                  <wp:extent cx="4721303" cy="2543175"/>
                  <wp:effectExtent l="19050" t="19050" r="22225" b="9525"/>
                  <wp:docPr id="9" name="Picture 9" descr="This image shows tsunami-related terminology used in this guideline."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l="42549" t="57971" r="10762" b="9938"/>
                          <a:stretch>
                            <a:fillRect/>
                          </a:stretch>
                        </pic:blipFill>
                        <pic:spPr bwMode="auto">
                          <a:xfrm>
                            <a:off x="0" y="0"/>
                            <a:ext cx="4785411" cy="2577707"/>
                          </a:xfrm>
                          <a:prstGeom prst="rect">
                            <a:avLst/>
                          </a:prstGeom>
                          <a:noFill/>
                          <a:ln w="6350" cmpd="sng">
                            <a:solidFill>
                              <a:srgbClr val="000000"/>
                            </a:solidFill>
                            <a:miter lim="800000"/>
                            <a:headEnd/>
                            <a:tailEnd/>
                          </a:ln>
                          <a:effectLst/>
                        </pic:spPr>
                      </pic:pic>
                    </a:graphicData>
                  </a:graphic>
                </wp:inline>
              </w:drawing>
            </w:r>
          </w:p>
          <w:p w:rsidR="003F0FE0" w:rsidRDefault="003F0FE0" w:rsidP="003F0FE0">
            <w:pPr>
              <w:pStyle w:val="Caption"/>
              <w:rPr>
                <w:rFonts w:cs="Arial"/>
              </w:rPr>
            </w:pPr>
            <w:bookmarkStart w:id="15" w:name="_Ref442785024"/>
            <w:bookmarkStart w:id="16" w:name="_Ref442785033"/>
            <w:r w:rsidRPr="00A44022">
              <w:t xml:space="preserve">Figure </w:t>
            </w:r>
            <w:fldSimple w:instr=" SEQ Figure \* ARABIC ">
              <w:r w:rsidR="009B2134">
                <w:rPr>
                  <w:noProof/>
                </w:rPr>
                <w:t>2</w:t>
              </w:r>
            </w:fldSimple>
            <w:bookmarkEnd w:id="15"/>
            <w:r w:rsidRPr="00A44022">
              <w:t xml:space="preserve"> Tsunami-related terminology used in this guideline</w:t>
            </w:r>
            <w:bookmarkEnd w:id="16"/>
          </w:p>
          <w:p w:rsidR="003F0FE0" w:rsidRPr="0057135A" w:rsidRDefault="003F0FE0" w:rsidP="00371B7E">
            <w:pPr>
              <w:pStyle w:val="Spacer"/>
            </w:pPr>
          </w:p>
        </w:tc>
      </w:tr>
    </w:tbl>
    <w:p w:rsidR="003F0FE0" w:rsidRDefault="003F0FE0" w:rsidP="00A44022"/>
    <w:p w:rsidR="00E50869" w:rsidRDefault="00E50869" w:rsidP="003F0FE0">
      <w:pPr>
        <w:pStyle w:val="Heading4"/>
      </w:pPr>
      <w:r>
        <w:t xml:space="preserve">Terms </w:t>
      </w:r>
      <w:r w:rsidR="00721D6A">
        <w:t xml:space="preserve">used </w:t>
      </w:r>
      <w:r>
        <w:t xml:space="preserve">in </w:t>
      </w:r>
      <w:r w:rsidR="00721D6A">
        <w:t>local g</w:t>
      </w:r>
      <w:r w:rsidR="00721D6A" w:rsidRPr="00E00FC7">
        <w:t>overnment</w:t>
      </w:r>
      <w:bookmarkEnd w:id="14"/>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921BB9" w:rsidTr="000D2C4B">
        <w:tc>
          <w:tcPr>
            <w:tcW w:w="1928" w:type="dxa"/>
            <w:tcMar>
              <w:right w:w="227" w:type="dxa"/>
            </w:tcMar>
          </w:tcPr>
          <w:p w:rsidR="00921BB9" w:rsidRDefault="00921BB9" w:rsidP="00A44022">
            <w:pPr>
              <w:pStyle w:val="LHcolumn"/>
            </w:pPr>
            <w:r>
              <w:t>Territorial authority</w:t>
            </w:r>
          </w:p>
        </w:tc>
        <w:tc>
          <w:tcPr>
            <w:tcW w:w="7711" w:type="dxa"/>
          </w:tcPr>
          <w:p w:rsidR="00921BB9" w:rsidRDefault="00921BB9" w:rsidP="00A44022">
            <w:pPr>
              <w:rPr>
                <w:bCs/>
                <w:szCs w:val="20"/>
              </w:rPr>
            </w:pPr>
            <w:r w:rsidRPr="000F23BD">
              <w:rPr>
                <w:bCs/>
                <w:szCs w:val="20"/>
              </w:rPr>
              <w:t>A</w:t>
            </w:r>
            <w:r>
              <w:rPr>
                <w:b/>
                <w:bCs/>
                <w:szCs w:val="20"/>
              </w:rPr>
              <w:t xml:space="preserve"> </w:t>
            </w:r>
            <w:r w:rsidRPr="007C20DB">
              <w:rPr>
                <w:b/>
                <w:bCs/>
                <w:szCs w:val="20"/>
              </w:rPr>
              <w:t xml:space="preserve">territorial authority (TA) </w:t>
            </w:r>
            <w:r w:rsidRPr="00211820">
              <w:rPr>
                <w:bCs/>
                <w:szCs w:val="20"/>
              </w:rPr>
              <w:t>is a city or district council or unitary authority that provides public ser</w:t>
            </w:r>
            <w:r>
              <w:rPr>
                <w:bCs/>
                <w:szCs w:val="20"/>
              </w:rPr>
              <w:t>vices</w:t>
            </w:r>
            <w:r w:rsidRPr="00211820">
              <w:rPr>
                <w:bCs/>
                <w:szCs w:val="20"/>
              </w:rPr>
              <w:t xml:space="preserve"> and regulates land use, building</w:t>
            </w:r>
            <w:r>
              <w:rPr>
                <w:bCs/>
                <w:szCs w:val="20"/>
              </w:rPr>
              <w:t>s</w:t>
            </w:r>
            <w:r w:rsidRPr="00211820">
              <w:rPr>
                <w:bCs/>
                <w:szCs w:val="20"/>
              </w:rPr>
              <w:t>, public nuisances</w:t>
            </w:r>
            <w:r>
              <w:rPr>
                <w:bCs/>
                <w:szCs w:val="20"/>
              </w:rPr>
              <w:t>,</w:t>
            </w:r>
            <w:r w:rsidRPr="00211820">
              <w:rPr>
                <w:bCs/>
                <w:szCs w:val="20"/>
              </w:rPr>
              <w:t xml:space="preserve"> and environmental health.</w:t>
            </w:r>
          </w:p>
          <w:p w:rsidR="00953989" w:rsidRPr="00921BB9" w:rsidRDefault="00953989" w:rsidP="00A44022">
            <w:pPr>
              <w:pStyle w:val="Spacer"/>
            </w:pPr>
          </w:p>
        </w:tc>
      </w:tr>
      <w:tr w:rsidR="00921BB9" w:rsidTr="000D2C4B">
        <w:tc>
          <w:tcPr>
            <w:tcW w:w="1928" w:type="dxa"/>
            <w:tcMar>
              <w:right w:w="227" w:type="dxa"/>
            </w:tcMar>
          </w:tcPr>
          <w:p w:rsidR="00921BB9" w:rsidRDefault="00921BB9" w:rsidP="00A44022">
            <w:pPr>
              <w:pStyle w:val="LHcolumn"/>
            </w:pPr>
            <w:r>
              <w:t>Regional council</w:t>
            </w:r>
          </w:p>
        </w:tc>
        <w:tc>
          <w:tcPr>
            <w:tcW w:w="7711" w:type="dxa"/>
          </w:tcPr>
          <w:p w:rsidR="00921BB9" w:rsidRDefault="00921BB9" w:rsidP="00A44022">
            <w:pPr>
              <w:rPr>
                <w:bCs/>
                <w:szCs w:val="20"/>
              </w:rPr>
            </w:pPr>
            <w:r w:rsidRPr="00BC12D3">
              <w:rPr>
                <w:bCs/>
                <w:szCs w:val="20"/>
              </w:rPr>
              <w:t>A</w:t>
            </w:r>
            <w:r w:rsidRPr="00BC12D3">
              <w:rPr>
                <w:b/>
                <w:bCs/>
                <w:szCs w:val="20"/>
              </w:rPr>
              <w:t xml:space="preserve"> regional council </w:t>
            </w:r>
            <w:r w:rsidRPr="00211820">
              <w:rPr>
                <w:bCs/>
                <w:szCs w:val="20"/>
              </w:rPr>
              <w:t>is a region-based council, primarily responsible f</w:t>
            </w:r>
            <w:r>
              <w:rPr>
                <w:bCs/>
                <w:szCs w:val="20"/>
              </w:rPr>
              <w:t xml:space="preserve">or natural resource management, </w:t>
            </w:r>
            <w:r w:rsidRPr="00211820">
              <w:rPr>
                <w:bCs/>
                <w:szCs w:val="20"/>
              </w:rPr>
              <w:t>includ</w:t>
            </w:r>
            <w:r>
              <w:rPr>
                <w:bCs/>
                <w:szCs w:val="20"/>
              </w:rPr>
              <w:t>ing in the coastal marine area</w:t>
            </w:r>
            <w:r w:rsidRPr="00211820">
              <w:rPr>
                <w:bCs/>
                <w:szCs w:val="20"/>
              </w:rPr>
              <w:t>.  It regulates land use for specific purposes (for example, soil conservation, water quality</w:t>
            </w:r>
            <w:r>
              <w:rPr>
                <w:bCs/>
                <w:szCs w:val="20"/>
              </w:rPr>
              <w:t>,</w:t>
            </w:r>
            <w:r w:rsidRPr="00211820">
              <w:rPr>
                <w:bCs/>
                <w:szCs w:val="20"/>
              </w:rPr>
              <w:t xml:space="preserve"> and </w:t>
            </w:r>
            <w:r>
              <w:rPr>
                <w:bCs/>
                <w:szCs w:val="20"/>
              </w:rPr>
              <w:t>the management of</w:t>
            </w:r>
            <w:r w:rsidRPr="00211820">
              <w:rPr>
                <w:bCs/>
                <w:szCs w:val="20"/>
              </w:rPr>
              <w:t xml:space="preserve"> natural hazards).  It also regulates for and undertakes pest control an</w:t>
            </w:r>
            <w:r>
              <w:rPr>
                <w:bCs/>
                <w:szCs w:val="20"/>
              </w:rPr>
              <w:t>d harbour navigation and safety, and provides (in some cases)</w:t>
            </w:r>
            <w:r w:rsidRPr="00211820">
              <w:rPr>
                <w:bCs/>
                <w:szCs w:val="20"/>
              </w:rPr>
              <w:t xml:space="preserve"> public transport services.</w:t>
            </w:r>
          </w:p>
          <w:p w:rsidR="00953989" w:rsidRPr="00921BB9" w:rsidRDefault="00953989" w:rsidP="00A44022">
            <w:pPr>
              <w:pStyle w:val="Spacer"/>
            </w:pPr>
          </w:p>
        </w:tc>
      </w:tr>
      <w:tr w:rsidR="00921BB9" w:rsidTr="000D2C4B">
        <w:tc>
          <w:tcPr>
            <w:tcW w:w="1928" w:type="dxa"/>
            <w:tcMar>
              <w:right w:w="227" w:type="dxa"/>
            </w:tcMar>
          </w:tcPr>
          <w:p w:rsidR="00921BB9" w:rsidRDefault="00921BB9" w:rsidP="00A44022">
            <w:pPr>
              <w:pStyle w:val="LHcolumn"/>
            </w:pPr>
            <w:r>
              <w:t>Unitary authority</w:t>
            </w:r>
          </w:p>
        </w:tc>
        <w:tc>
          <w:tcPr>
            <w:tcW w:w="7711" w:type="dxa"/>
          </w:tcPr>
          <w:p w:rsidR="00921BB9" w:rsidRDefault="00921BB9" w:rsidP="00A44022">
            <w:pPr>
              <w:rPr>
                <w:szCs w:val="20"/>
              </w:rPr>
            </w:pPr>
            <w:r w:rsidRPr="000F23BD">
              <w:rPr>
                <w:bCs/>
                <w:szCs w:val="20"/>
              </w:rPr>
              <w:t>A</w:t>
            </w:r>
            <w:r>
              <w:rPr>
                <w:b/>
                <w:bCs/>
                <w:szCs w:val="20"/>
              </w:rPr>
              <w:t xml:space="preserve"> </w:t>
            </w:r>
            <w:r w:rsidRPr="007C20DB">
              <w:rPr>
                <w:b/>
                <w:bCs/>
                <w:szCs w:val="20"/>
              </w:rPr>
              <w:t xml:space="preserve">unitary authority </w:t>
            </w:r>
            <w:r>
              <w:rPr>
                <w:szCs w:val="20"/>
              </w:rPr>
              <w:t>is</w:t>
            </w:r>
            <w:r w:rsidRPr="005F308C">
              <w:rPr>
                <w:szCs w:val="20"/>
              </w:rPr>
              <w:t xml:space="preserve"> </w:t>
            </w:r>
            <w:r>
              <w:rPr>
                <w:szCs w:val="20"/>
              </w:rPr>
              <w:t>a territorial authority with regional council functions and powers.</w:t>
            </w:r>
          </w:p>
          <w:p w:rsidR="00953989" w:rsidRPr="00921BB9" w:rsidRDefault="00953989" w:rsidP="00A44022">
            <w:pPr>
              <w:pStyle w:val="Spacer"/>
            </w:pPr>
          </w:p>
        </w:tc>
      </w:tr>
      <w:tr w:rsidR="00921BB9" w:rsidTr="000D2C4B">
        <w:tc>
          <w:tcPr>
            <w:tcW w:w="1928" w:type="dxa"/>
            <w:tcMar>
              <w:right w:w="227" w:type="dxa"/>
            </w:tcMar>
          </w:tcPr>
          <w:p w:rsidR="00921BB9" w:rsidRDefault="00921BB9" w:rsidP="00A44022">
            <w:pPr>
              <w:pStyle w:val="LHcolumn"/>
            </w:pPr>
            <w:r>
              <w:t>Local authority</w:t>
            </w:r>
          </w:p>
        </w:tc>
        <w:tc>
          <w:tcPr>
            <w:tcW w:w="7711" w:type="dxa"/>
          </w:tcPr>
          <w:p w:rsidR="00E50869" w:rsidRPr="00921BB9" w:rsidRDefault="00921BB9" w:rsidP="00A44022">
            <w:r w:rsidRPr="000F23BD">
              <w:rPr>
                <w:bCs/>
                <w:szCs w:val="20"/>
              </w:rPr>
              <w:t>A</w:t>
            </w:r>
            <w:r>
              <w:rPr>
                <w:b/>
                <w:bCs/>
                <w:szCs w:val="20"/>
              </w:rPr>
              <w:t xml:space="preserve"> </w:t>
            </w:r>
            <w:r w:rsidRPr="00B529F9">
              <w:rPr>
                <w:b/>
              </w:rPr>
              <w:t>local authority</w:t>
            </w:r>
            <w:r w:rsidRPr="00B529F9">
              <w:t xml:space="preserve"> </w:t>
            </w:r>
            <w:r>
              <w:rPr>
                <w:szCs w:val="20"/>
              </w:rPr>
              <w:t>is</w:t>
            </w:r>
            <w:r w:rsidRPr="00B529F9">
              <w:t xml:space="preserve"> any of the above.</w:t>
            </w:r>
          </w:p>
        </w:tc>
      </w:tr>
    </w:tbl>
    <w:p w:rsidR="00953989" w:rsidRDefault="00953989" w:rsidP="00A44022">
      <w:bookmarkStart w:id="17" w:name="_Ref418503963"/>
    </w:p>
    <w:p w:rsidR="00E50869" w:rsidRDefault="00E50869" w:rsidP="003F0FE0">
      <w:pPr>
        <w:pStyle w:val="Heading4"/>
      </w:pPr>
      <w:r>
        <w:lastRenderedPageBreak/>
        <w:t xml:space="preserve">Key CDEM </w:t>
      </w:r>
      <w:r w:rsidR="00721D6A">
        <w:t>documents</w:t>
      </w:r>
      <w:bookmarkEnd w:id="17"/>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921BB9" w:rsidTr="000D2C4B">
        <w:tc>
          <w:tcPr>
            <w:tcW w:w="1928" w:type="dxa"/>
            <w:tcMar>
              <w:right w:w="227" w:type="dxa"/>
            </w:tcMar>
          </w:tcPr>
          <w:p w:rsidR="00921BB9" w:rsidRDefault="00921BB9" w:rsidP="00A44022">
            <w:pPr>
              <w:pStyle w:val="LHcolumn"/>
            </w:pPr>
            <w:r>
              <w:t>CDEM Act 2002</w:t>
            </w:r>
          </w:p>
        </w:tc>
        <w:tc>
          <w:tcPr>
            <w:tcW w:w="7711" w:type="dxa"/>
          </w:tcPr>
          <w:p w:rsidR="00921BB9" w:rsidRPr="00B9702B" w:rsidRDefault="00921BB9" w:rsidP="00A44022">
            <w:r w:rsidRPr="00B9702B">
              <w:t xml:space="preserve">The </w:t>
            </w:r>
            <w:r w:rsidRPr="00B9702B">
              <w:rPr>
                <w:b/>
              </w:rPr>
              <w:t>Civil Defence Emergency Management Act 2002 (</w:t>
            </w:r>
            <w:r w:rsidRPr="00B9702B">
              <w:rPr>
                <w:b/>
                <w:i/>
              </w:rPr>
              <w:t>CDEM Act 2002</w:t>
            </w:r>
            <w:r w:rsidRPr="00B9702B">
              <w:rPr>
                <w:b/>
              </w:rPr>
              <w:t>)</w:t>
            </w:r>
            <w:r w:rsidRPr="00B9702B">
              <w:t xml:space="preserve"> provides the legislative framework for CDEM in New Zealand across the 4Rs</w:t>
            </w:r>
            <w:r w:rsidR="00E47407">
              <w:t xml:space="preserve">. </w:t>
            </w:r>
            <w:r w:rsidRPr="00B9702B">
              <w:t>It de</w:t>
            </w:r>
            <w:r>
              <w:t xml:space="preserve">scribes </w:t>
            </w:r>
            <w:r w:rsidRPr="00B9702B">
              <w:t>the functions and responsibilities of the Director of CDEM, as well as those of government departments, local authorities, emergency services, and lifeline utilities.</w:t>
            </w:r>
          </w:p>
          <w:p w:rsidR="00921BB9" w:rsidRPr="00420988" w:rsidRDefault="00921BB9" w:rsidP="00A44022">
            <w:r w:rsidRPr="00420988">
              <w:t xml:space="preserve">The </w:t>
            </w:r>
            <w:r w:rsidRPr="00420988">
              <w:rPr>
                <w:i/>
              </w:rPr>
              <w:t>CDEM Act 2002</w:t>
            </w:r>
            <w:r w:rsidRPr="00420988">
              <w:t xml:space="preserve"> sets the requirement for CDEM Groups, and defines their statutory functions, duties, and responsibilities.  It also provides for local authority delegated representatives, mayors, or the Minister of Civil Defence to declare a state of local emergency (the Minister may also declare a state of national emergency), and defines the powers that CDEM Groups and Controllers may exercise during a state of emergency.</w:t>
            </w:r>
          </w:p>
          <w:p w:rsidR="00921BB9" w:rsidRDefault="00921BB9" w:rsidP="00A44022">
            <w:r w:rsidRPr="00420988">
              <w:t xml:space="preserve">The </w:t>
            </w:r>
            <w:r w:rsidRPr="00420988">
              <w:rPr>
                <w:i/>
              </w:rPr>
              <w:t>CDEM Act 2002</w:t>
            </w:r>
            <w:r w:rsidRPr="00420988">
              <w:t xml:space="preserve"> requires there to be a </w:t>
            </w:r>
            <w:r w:rsidRPr="003A288E">
              <w:rPr>
                <w:i/>
              </w:rPr>
              <w:t>National CDEM Strategy</w:t>
            </w:r>
            <w:r w:rsidRPr="00420988">
              <w:t xml:space="preserve"> and a </w:t>
            </w:r>
            <w:r w:rsidRPr="003A288E">
              <w:rPr>
                <w:i/>
              </w:rPr>
              <w:t>National CDEM Plan</w:t>
            </w:r>
            <w:r w:rsidRPr="00420988">
              <w:t xml:space="preserve">, and enables the Director of CDEM to issue </w:t>
            </w:r>
            <w:r>
              <w:t>Director’s Guidelines.</w:t>
            </w:r>
          </w:p>
          <w:p w:rsidR="00953989" w:rsidRPr="00E47407" w:rsidRDefault="00953989" w:rsidP="00A44022">
            <w:pPr>
              <w:pStyle w:val="Spacer"/>
            </w:pPr>
          </w:p>
        </w:tc>
      </w:tr>
      <w:tr w:rsidR="00E47407" w:rsidTr="000D2C4B">
        <w:tc>
          <w:tcPr>
            <w:tcW w:w="1928" w:type="dxa"/>
            <w:tcMar>
              <w:right w:w="227" w:type="dxa"/>
            </w:tcMar>
          </w:tcPr>
          <w:p w:rsidR="00E47407" w:rsidRDefault="00E47407" w:rsidP="00A44022">
            <w:pPr>
              <w:pStyle w:val="LHcolumn"/>
            </w:pPr>
            <w:r>
              <w:t>Director’s Guidelines</w:t>
            </w:r>
          </w:p>
        </w:tc>
        <w:tc>
          <w:tcPr>
            <w:tcW w:w="7711" w:type="dxa"/>
          </w:tcPr>
          <w:p w:rsidR="00E47407" w:rsidRPr="009302A2" w:rsidRDefault="00E47407" w:rsidP="00A44022">
            <w:pPr>
              <w:rPr>
                <w:bCs/>
              </w:rPr>
            </w:pPr>
            <w:r w:rsidRPr="007C20DB">
              <w:rPr>
                <w:b/>
                <w:bCs/>
                <w:szCs w:val="20"/>
              </w:rPr>
              <w:t>Director’s Guidelines</w:t>
            </w:r>
            <w:r w:rsidRPr="007C20DB">
              <w:rPr>
                <w:bCs/>
                <w:szCs w:val="20"/>
              </w:rPr>
              <w:t xml:space="preserve"> </w:t>
            </w:r>
            <w:r>
              <w:rPr>
                <w:bCs/>
                <w:szCs w:val="20"/>
              </w:rPr>
              <w:t>are</w:t>
            </w:r>
            <w:r w:rsidRPr="00CA2EC8">
              <w:rPr>
                <w:bCs/>
                <w:szCs w:val="20"/>
              </w:rPr>
              <w:t xml:space="preserve"> </w:t>
            </w:r>
            <w:r w:rsidRPr="007C20DB">
              <w:rPr>
                <w:bCs/>
                <w:szCs w:val="20"/>
              </w:rPr>
              <w:t>documents developed</w:t>
            </w:r>
            <w:r>
              <w:rPr>
                <w:bCs/>
                <w:szCs w:val="20"/>
              </w:rPr>
              <w:t xml:space="preserve"> by </w:t>
            </w:r>
            <w:r w:rsidRPr="007C20DB">
              <w:rPr>
                <w:bCs/>
                <w:szCs w:val="20"/>
              </w:rPr>
              <w:t>MCDEM</w:t>
            </w:r>
            <w:r>
              <w:rPr>
                <w:bCs/>
                <w:szCs w:val="20"/>
              </w:rPr>
              <w:t>,</w:t>
            </w:r>
            <w:r w:rsidRPr="007C20DB">
              <w:rPr>
                <w:bCs/>
                <w:szCs w:val="20"/>
              </w:rPr>
              <w:t xml:space="preserve"> to provide guidance to CDEM </w:t>
            </w:r>
            <w:r>
              <w:rPr>
                <w:bCs/>
                <w:szCs w:val="20"/>
              </w:rPr>
              <w:t xml:space="preserve">Groups </w:t>
            </w:r>
            <w:r w:rsidRPr="007C20DB">
              <w:rPr>
                <w:bCs/>
                <w:szCs w:val="20"/>
              </w:rPr>
              <w:t>and other agencies regarding CDEM.</w:t>
            </w:r>
            <w:r>
              <w:rPr>
                <w:bCs/>
                <w:szCs w:val="20"/>
              </w:rPr>
              <w:t xml:space="preserve"> </w:t>
            </w:r>
            <w:r>
              <w:rPr>
                <w:bCs/>
              </w:rPr>
              <w:t xml:space="preserve">They are issued by the Director of CDEM under the </w:t>
            </w:r>
            <w:r w:rsidRPr="002306FB">
              <w:rPr>
                <w:bCs/>
                <w:i/>
              </w:rPr>
              <w:t>CDEM Act</w:t>
            </w:r>
            <w:r>
              <w:rPr>
                <w:bCs/>
                <w:i/>
              </w:rPr>
              <w:t xml:space="preserve"> 2002</w:t>
            </w:r>
            <w:r w:rsidR="00953989">
              <w:rPr>
                <w:bCs/>
              </w:rPr>
              <w:t xml:space="preserve"> [</w:t>
            </w:r>
            <w:proofErr w:type="gramStart"/>
            <w:r w:rsidR="00953989">
              <w:rPr>
                <w:bCs/>
              </w:rPr>
              <w:t>s.8(</w:t>
            </w:r>
            <w:proofErr w:type="gramEnd"/>
            <w:r w:rsidR="00953989">
              <w:rPr>
                <w:bCs/>
              </w:rPr>
              <w:t>2)(d) &amp; 9(3)</w:t>
            </w:r>
            <w:r w:rsidR="00366724">
              <w:rPr>
                <w:bCs/>
              </w:rPr>
              <w:t>]</w:t>
            </w:r>
            <w:r>
              <w:rPr>
                <w:bCs/>
              </w:rPr>
              <w:t>.</w:t>
            </w:r>
          </w:p>
        </w:tc>
      </w:tr>
    </w:tbl>
    <w:p w:rsidR="001431A5" w:rsidRPr="00994F31" w:rsidRDefault="00994F31" w:rsidP="00A44022">
      <w:pPr>
        <w:pStyle w:val="Heading1"/>
        <w:spacing w:after="120"/>
      </w:pPr>
      <w:bookmarkStart w:id="18" w:name="_Toc166896828"/>
      <w:bookmarkStart w:id="19" w:name="_Ref423528416"/>
      <w:bookmarkStart w:id="20" w:name="_Ref423528419"/>
      <w:bookmarkStart w:id="21" w:name="_Toc443381803"/>
      <w:bookmarkEnd w:id="18"/>
      <w:r w:rsidRPr="00994F31">
        <w:lastRenderedPageBreak/>
        <w:t>Background</w:t>
      </w:r>
      <w:bookmarkEnd w:id="19"/>
      <w:bookmarkEnd w:id="20"/>
      <w:bookmarkEnd w:id="21"/>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F26BEF" w:rsidTr="000D5A9A">
        <w:tc>
          <w:tcPr>
            <w:tcW w:w="1928" w:type="dxa"/>
            <w:tcMar>
              <w:right w:w="227" w:type="dxa"/>
            </w:tcMar>
          </w:tcPr>
          <w:p w:rsidR="00F26BEF" w:rsidRPr="00CF5073" w:rsidRDefault="00F26BEF" w:rsidP="00A44022">
            <w:pPr>
              <w:pStyle w:val="LHcolumn"/>
            </w:pPr>
          </w:p>
        </w:tc>
        <w:tc>
          <w:tcPr>
            <w:tcW w:w="7711" w:type="dxa"/>
          </w:tcPr>
          <w:p w:rsidR="00994F31" w:rsidRPr="00994F31" w:rsidRDefault="00994F31" w:rsidP="00A44022">
            <w:pPr>
              <w:autoSpaceDE w:val="0"/>
              <w:autoSpaceDN w:val="0"/>
              <w:adjustRightInd w:val="0"/>
              <w:rPr>
                <w:rFonts w:cs="Arial"/>
                <w:color w:val="000000"/>
                <w:lang w:val="en-GB" w:eastAsia="en-GB"/>
              </w:rPr>
            </w:pPr>
            <w:r w:rsidRPr="00994F31">
              <w:rPr>
                <w:rFonts w:cs="Arial"/>
                <w:color w:val="000000"/>
                <w:lang w:val="en-GB" w:eastAsia="en-GB"/>
              </w:rPr>
              <w:t>Tsunami hazards are a threat to life and property for all people that live, work and play near the New Zealand coast. The devastating events in the Indian Ocean in 2004 and Japan in 2011 alerted and reinforced for the New Zealand public the potentially catastrophic impacts of large tsunami waves inundating populated coastal areas.</w:t>
            </w:r>
          </w:p>
          <w:p w:rsidR="00994F31" w:rsidRPr="00994F31" w:rsidRDefault="00994F31" w:rsidP="00A44022">
            <w:pPr>
              <w:autoSpaceDE w:val="0"/>
              <w:autoSpaceDN w:val="0"/>
              <w:adjustRightInd w:val="0"/>
              <w:rPr>
                <w:rFonts w:cs="Arial"/>
                <w:lang w:val="en-GB" w:eastAsia="en-GB"/>
              </w:rPr>
            </w:pPr>
            <w:r w:rsidRPr="00994F31">
              <w:rPr>
                <w:rFonts w:cs="Arial"/>
                <w:lang w:val="en-GB" w:eastAsia="en-GB"/>
              </w:rPr>
              <w:t>In 2005, the Ministry of Civil Defence &amp; Emergency Management (MCDEM) commissioned a national tsunami risk and preparedness review. The resulting risk and preparedness reports</w:t>
            </w:r>
            <w:r w:rsidRPr="00994F31">
              <w:rPr>
                <w:rStyle w:val="FootnoteReference"/>
                <w:rFonts w:cs="Arial"/>
                <w:lang w:val="en-GB" w:eastAsia="en-GB"/>
              </w:rPr>
              <w:footnoteReference w:id="1"/>
            </w:r>
            <w:r w:rsidRPr="00994F31">
              <w:rPr>
                <w:rFonts w:cs="Arial"/>
                <w:lang w:val="en-GB" w:eastAsia="en-GB"/>
              </w:rPr>
              <w:t xml:space="preserve"> became the basis of the National Tsunami Risk Management Programme initiated in 2007, which identified four key areas for advancement:</w:t>
            </w:r>
          </w:p>
          <w:p w:rsidR="00994F31" w:rsidRPr="00994F31" w:rsidRDefault="00994F31" w:rsidP="00A44022">
            <w:pPr>
              <w:numPr>
                <w:ilvl w:val="0"/>
                <w:numId w:val="13"/>
              </w:numPr>
              <w:suppressAutoHyphens/>
              <w:autoSpaceDE w:val="0"/>
              <w:autoSpaceDN w:val="0"/>
              <w:adjustRightInd w:val="0"/>
              <w:rPr>
                <w:rFonts w:cs="Arial"/>
                <w:color w:val="000000"/>
                <w:lang w:val="en-GB" w:eastAsia="en-GB"/>
              </w:rPr>
            </w:pPr>
            <w:r w:rsidRPr="00994F31">
              <w:rPr>
                <w:rFonts w:cs="Arial"/>
                <w:color w:val="000000"/>
                <w:lang w:val="en-GB" w:eastAsia="en-GB"/>
              </w:rPr>
              <w:t>Knowledge of tsunami hazard risks</w:t>
            </w:r>
          </w:p>
          <w:p w:rsidR="00994F31" w:rsidRPr="00994F31" w:rsidRDefault="00994F31" w:rsidP="00A44022">
            <w:pPr>
              <w:numPr>
                <w:ilvl w:val="0"/>
                <w:numId w:val="13"/>
              </w:numPr>
              <w:suppressAutoHyphens/>
              <w:autoSpaceDE w:val="0"/>
              <w:autoSpaceDN w:val="0"/>
              <w:adjustRightInd w:val="0"/>
              <w:ind w:left="714" w:hanging="357"/>
              <w:rPr>
                <w:rFonts w:cs="Arial"/>
                <w:color w:val="000000"/>
                <w:lang w:val="en-GB" w:eastAsia="en-GB"/>
              </w:rPr>
            </w:pPr>
            <w:r w:rsidRPr="00994F31">
              <w:rPr>
                <w:rFonts w:cs="Arial"/>
                <w:color w:val="000000"/>
                <w:lang w:val="en-GB" w:eastAsia="en-GB"/>
              </w:rPr>
              <w:t>Warning system development</w:t>
            </w:r>
          </w:p>
          <w:p w:rsidR="00994F31" w:rsidRPr="00994F31" w:rsidRDefault="00994F31" w:rsidP="00A44022">
            <w:pPr>
              <w:numPr>
                <w:ilvl w:val="0"/>
                <w:numId w:val="13"/>
              </w:numPr>
              <w:suppressAutoHyphens/>
              <w:autoSpaceDE w:val="0"/>
              <w:autoSpaceDN w:val="0"/>
              <w:adjustRightInd w:val="0"/>
              <w:ind w:left="714" w:hanging="357"/>
              <w:rPr>
                <w:rFonts w:cs="Arial"/>
                <w:color w:val="000000"/>
                <w:lang w:val="en-GB" w:eastAsia="en-GB"/>
              </w:rPr>
            </w:pPr>
            <w:r w:rsidRPr="00994F31">
              <w:rPr>
                <w:rFonts w:cs="Arial"/>
                <w:color w:val="000000"/>
                <w:lang w:val="en-GB" w:eastAsia="en-GB"/>
              </w:rPr>
              <w:t>Planning for response</w:t>
            </w:r>
          </w:p>
          <w:p w:rsidR="00994F31" w:rsidRPr="00994F31" w:rsidRDefault="00994F31" w:rsidP="00A44022">
            <w:pPr>
              <w:numPr>
                <w:ilvl w:val="0"/>
                <w:numId w:val="13"/>
              </w:numPr>
              <w:suppressAutoHyphens/>
              <w:autoSpaceDE w:val="0"/>
              <w:autoSpaceDN w:val="0"/>
              <w:adjustRightInd w:val="0"/>
              <w:rPr>
                <w:rFonts w:cs="Arial"/>
                <w:color w:val="000000"/>
                <w:lang w:val="en-GB" w:eastAsia="en-GB"/>
              </w:rPr>
            </w:pPr>
            <w:r w:rsidRPr="00994F31">
              <w:rPr>
                <w:rFonts w:cs="Arial"/>
                <w:color w:val="000000"/>
                <w:lang w:val="en-GB" w:eastAsia="en-GB"/>
              </w:rPr>
              <w:t>Awareness of tsunami risks and what to do</w:t>
            </w:r>
            <w:r w:rsidR="00D7216E">
              <w:rPr>
                <w:rFonts w:cs="Arial"/>
                <w:color w:val="000000"/>
                <w:lang w:val="en-GB" w:eastAsia="en-GB"/>
              </w:rPr>
              <w:t>.</w:t>
            </w:r>
          </w:p>
          <w:p w:rsidR="00994F31" w:rsidRPr="00994F31" w:rsidRDefault="00994F31" w:rsidP="00A44022">
            <w:pPr>
              <w:autoSpaceDE w:val="0"/>
              <w:autoSpaceDN w:val="0"/>
              <w:adjustRightInd w:val="0"/>
              <w:rPr>
                <w:rFonts w:cs="Arial"/>
                <w:lang w:val="en-GB" w:eastAsia="en-GB"/>
              </w:rPr>
            </w:pPr>
            <w:r w:rsidRPr="00994F31">
              <w:rPr>
                <w:rFonts w:cs="Arial"/>
                <w:lang w:val="en-GB" w:eastAsia="en-GB"/>
              </w:rPr>
              <w:t xml:space="preserve">In March 2007, a National Tsunami Working Group (TWG) was established with representatives from </w:t>
            </w:r>
            <w:r w:rsidR="00B01FB9">
              <w:rPr>
                <w:rFonts w:cs="Arial"/>
                <w:lang w:val="en-GB" w:eastAsia="en-GB"/>
              </w:rPr>
              <w:t xml:space="preserve">the </w:t>
            </w:r>
            <w:r w:rsidRPr="00994F31">
              <w:rPr>
                <w:rFonts w:cs="Arial"/>
                <w:lang w:val="en-GB" w:eastAsia="en-GB"/>
              </w:rPr>
              <w:t>CDEM</w:t>
            </w:r>
            <w:r w:rsidR="00B01FB9">
              <w:rPr>
                <w:rFonts w:cs="Arial"/>
                <w:lang w:val="en-GB" w:eastAsia="en-GB"/>
              </w:rPr>
              <w:t xml:space="preserve"> sector</w:t>
            </w:r>
            <w:r w:rsidRPr="00994F31">
              <w:rPr>
                <w:rFonts w:cs="Arial"/>
                <w:lang w:val="en-GB" w:eastAsia="en-GB"/>
              </w:rPr>
              <w:t xml:space="preserve"> and</w:t>
            </w:r>
            <w:r w:rsidR="00950BE1">
              <w:rPr>
                <w:rFonts w:cs="Arial"/>
                <w:lang w:val="en-GB" w:eastAsia="en-GB"/>
              </w:rPr>
              <w:t xml:space="preserve"> GNS Science to help guide the N</w:t>
            </w:r>
            <w:r w:rsidRPr="00994F31">
              <w:rPr>
                <w:rFonts w:cs="Arial"/>
                <w:lang w:val="en-GB" w:eastAsia="en-GB"/>
              </w:rPr>
              <w:t>ational Tsunami Risk Management Programme. From 2007-2009, the TWG oversaw development of the:</w:t>
            </w:r>
          </w:p>
          <w:p w:rsidR="00994F31" w:rsidRPr="00D66915" w:rsidRDefault="00994F31" w:rsidP="00A44022">
            <w:pPr>
              <w:numPr>
                <w:ilvl w:val="0"/>
                <w:numId w:val="15"/>
              </w:numPr>
              <w:suppressAutoHyphens/>
              <w:autoSpaceDE w:val="0"/>
              <w:autoSpaceDN w:val="0"/>
              <w:adjustRightInd w:val="0"/>
              <w:rPr>
                <w:rFonts w:cs="Arial"/>
                <w:i/>
                <w:lang w:val="en-GB" w:eastAsia="en-GB"/>
              </w:rPr>
            </w:pPr>
            <w:r w:rsidRPr="00D66915">
              <w:rPr>
                <w:rFonts w:cs="Arial"/>
                <w:i/>
                <w:lang w:val="en-GB" w:eastAsia="en-GB"/>
              </w:rPr>
              <w:t>Tsunami Signage Technical Standard [TS 01/08]</w:t>
            </w:r>
          </w:p>
          <w:p w:rsidR="00994F31" w:rsidRPr="00D66915" w:rsidRDefault="00994F31" w:rsidP="00A44022">
            <w:pPr>
              <w:numPr>
                <w:ilvl w:val="0"/>
                <w:numId w:val="15"/>
              </w:numPr>
              <w:suppressAutoHyphens/>
              <w:autoSpaceDE w:val="0"/>
              <w:autoSpaceDN w:val="0"/>
              <w:adjustRightInd w:val="0"/>
              <w:rPr>
                <w:rFonts w:cs="Arial"/>
                <w:i/>
                <w:lang w:val="en-GB" w:eastAsia="en-GB"/>
              </w:rPr>
            </w:pPr>
            <w:r w:rsidRPr="00D66915">
              <w:rPr>
                <w:rFonts w:cs="Arial"/>
                <w:i/>
                <w:lang w:val="en-GB" w:eastAsia="en-GB"/>
              </w:rPr>
              <w:t>Tsunami Evacuation Zones Director’s Guideline [DGL 08/08]</w:t>
            </w:r>
          </w:p>
          <w:p w:rsidR="00994F31" w:rsidRPr="00994F31" w:rsidRDefault="00994F31" w:rsidP="00A44022">
            <w:pPr>
              <w:numPr>
                <w:ilvl w:val="0"/>
                <w:numId w:val="14"/>
              </w:numPr>
              <w:suppressAutoHyphens/>
              <w:autoSpaceDE w:val="0"/>
              <w:autoSpaceDN w:val="0"/>
              <w:adjustRightInd w:val="0"/>
              <w:rPr>
                <w:rFonts w:cs="Arial"/>
                <w:lang w:val="en-GB" w:eastAsia="en-GB"/>
              </w:rPr>
            </w:pPr>
            <w:r w:rsidRPr="00D66915">
              <w:rPr>
                <w:rFonts w:cs="Arial"/>
                <w:i/>
                <w:lang w:val="en-GB" w:eastAsia="en-GB"/>
              </w:rPr>
              <w:t>National Tsunami Advisory and Warning Plan [SP 01/09]</w:t>
            </w:r>
            <w:r w:rsidRPr="00994F31">
              <w:rPr>
                <w:rFonts w:cs="Arial"/>
                <w:lang w:val="en-GB" w:eastAsia="en-GB"/>
              </w:rPr>
              <w:t xml:space="preserve"> (revised October 2014)</w:t>
            </w:r>
            <w:r w:rsidR="00D7216E">
              <w:rPr>
                <w:rFonts w:cs="Arial"/>
                <w:lang w:val="en-GB" w:eastAsia="en-GB"/>
              </w:rPr>
              <w:t>.</w:t>
            </w:r>
          </w:p>
          <w:p w:rsidR="00994F31" w:rsidRPr="00994F31" w:rsidRDefault="00994F31" w:rsidP="00A44022">
            <w:pPr>
              <w:autoSpaceDE w:val="0"/>
              <w:autoSpaceDN w:val="0"/>
              <w:adjustRightInd w:val="0"/>
              <w:rPr>
                <w:rFonts w:cs="Arial"/>
                <w:lang w:val="en-GB" w:eastAsia="en-GB"/>
              </w:rPr>
            </w:pPr>
            <w:r w:rsidRPr="00994F31">
              <w:rPr>
                <w:rFonts w:cs="Arial"/>
                <w:lang w:val="en-GB" w:eastAsia="en-GB"/>
              </w:rPr>
              <w:t>The March 2011 Great East Japan tsunami reinforced the importance of tsunami risk management, and brought about some key changes in scientific knowledge, including:</w:t>
            </w:r>
          </w:p>
          <w:p w:rsidR="00994F31" w:rsidRPr="00994F31" w:rsidRDefault="00D66915" w:rsidP="00A44022">
            <w:pPr>
              <w:numPr>
                <w:ilvl w:val="0"/>
                <w:numId w:val="14"/>
              </w:numPr>
              <w:suppressAutoHyphens/>
              <w:autoSpaceDE w:val="0"/>
              <w:autoSpaceDN w:val="0"/>
              <w:adjustRightInd w:val="0"/>
              <w:rPr>
                <w:rFonts w:cs="Arial"/>
                <w:lang w:val="en-GB" w:eastAsia="en-GB"/>
              </w:rPr>
            </w:pPr>
            <w:r w:rsidRPr="00994F31">
              <w:rPr>
                <w:rFonts w:cs="Arial"/>
                <w:lang w:val="en-GB" w:eastAsia="en-GB"/>
              </w:rPr>
              <w:t xml:space="preserve">understanding </w:t>
            </w:r>
            <w:r w:rsidR="00994F31" w:rsidRPr="00994F31">
              <w:rPr>
                <w:rFonts w:cs="Arial"/>
                <w:lang w:val="en-GB" w:eastAsia="en-GB"/>
              </w:rPr>
              <w:t>of maximum possible earthquake magnitudes along tectonic plate boundaries</w:t>
            </w:r>
          </w:p>
          <w:p w:rsidR="00994F31" w:rsidRPr="00994F31" w:rsidRDefault="00D66915" w:rsidP="00A44022">
            <w:pPr>
              <w:numPr>
                <w:ilvl w:val="0"/>
                <w:numId w:val="14"/>
              </w:numPr>
              <w:suppressAutoHyphens/>
              <w:autoSpaceDE w:val="0"/>
              <w:autoSpaceDN w:val="0"/>
              <w:adjustRightInd w:val="0"/>
              <w:rPr>
                <w:rFonts w:cs="Arial"/>
                <w:lang w:val="en-GB" w:eastAsia="en-GB"/>
              </w:rPr>
            </w:pPr>
            <w:r w:rsidRPr="00994F31">
              <w:rPr>
                <w:rFonts w:cs="Arial"/>
                <w:lang w:val="en-GB" w:eastAsia="en-GB"/>
              </w:rPr>
              <w:t xml:space="preserve">the </w:t>
            </w:r>
            <w:r w:rsidR="00994F31" w:rsidRPr="00994F31">
              <w:rPr>
                <w:rFonts w:cs="Arial"/>
                <w:lang w:val="en-GB" w:eastAsia="en-GB"/>
              </w:rPr>
              <w:t>impacts of non-uniform tectonic plate movements on tsunami inundation during large earthquakes</w:t>
            </w:r>
            <w:r>
              <w:rPr>
                <w:rFonts w:cs="Arial"/>
                <w:lang w:val="en-GB" w:eastAsia="en-GB"/>
              </w:rPr>
              <w:t>, and</w:t>
            </w:r>
          </w:p>
          <w:p w:rsidR="00994F31" w:rsidRPr="00994F31" w:rsidRDefault="00D66915" w:rsidP="00A44022">
            <w:pPr>
              <w:numPr>
                <w:ilvl w:val="0"/>
                <w:numId w:val="14"/>
              </w:numPr>
              <w:suppressAutoHyphens/>
              <w:autoSpaceDE w:val="0"/>
              <w:autoSpaceDN w:val="0"/>
              <w:adjustRightInd w:val="0"/>
              <w:rPr>
                <w:rFonts w:cs="Arial"/>
                <w:lang w:val="en-GB" w:eastAsia="en-GB"/>
              </w:rPr>
            </w:pPr>
            <w:proofErr w:type="gramStart"/>
            <w:r w:rsidRPr="00994F31">
              <w:rPr>
                <w:rFonts w:cs="Arial"/>
                <w:lang w:val="en-GB" w:eastAsia="en-GB"/>
              </w:rPr>
              <w:t>the</w:t>
            </w:r>
            <w:proofErr w:type="gramEnd"/>
            <w:r w:rsidRPr="00994F31">
              <w:rPr>
                <w:rFonts w:cs="Arial"/>
                <w:lang w:val="en-GB" w:eastAsia="en-GB"/>
              </w:rPr>
              <w:t xml:space="preserve"> </w:t>
            </w:r>
            <w:r w:rsidR="00994F31" w:rsidRPr="00994F31">
              <w:rPr>
                <w:rFonts w:cs="Arial"/>
                <w:lang w:val="en-GB" w:eastAsia="en-GB"/>
              </w:rPr>
              <w:t>effectiveness of tsunami warning and evacuation practices</w:t>
            </w:r>
            <w:r w:rsidR="00D7216E">
              <w:rPr>
                <w:rFonts w:cs="Arial"/>
                <w:lang w:val="en-GB" w:eastAsia="en-GB"/>
              </w:rPr>
              <w:t>.</w:t>
            </w:r>
          </w:p>
          <w:p w:rsidR="006E4B51" w:rsidRPr="00953989" w:rsidRDefault="00994F31" w:rsidP="00A44022">
            <w:pPr>
              <w:autoSpaceDE w:val="0"/>
              <w:autoSpaceDN w:val="0"/>
              <w:adjustRightInd w:val="0"/>
              <w:rPr>
                <w:rFonts w:cs="Arial"/>
                <w:lang w:val="en-GB" w:eastAsia="en-GB"/>
              </w:rPr>
            </w:pPr>
            <w:r w:rsidRPr="00994F31">
              <w:rPr>
                <w:rFonts w:cs="Arial"/>
                <w:lang w:val="en-GB" w:eastAsia="en-GB"/>
              </w:rPr>
              <w:t>In 2013, a review of the tsunami hazard in New Zealand was completed</w:t>
            </w:r>
            <w:r w:rsidRPr="00994F31">
              <w:rPr>
                <w:rStyle w:val="FootnoteReference"/>
                <w:rFonts w:cs="Arial"/>
                <w:lang w:val="en-GB" w:eastAsia="en-GB"/>
              </w:rPr>
              <w:footnoteReference w:id="2"/>
            </w:r>
            <w:r w:rsidRPr="00994F31">
              <w:rPr>
                <w:rFonts w:cs="Arial"/>
                <w:lang w:val="en-GB" w:eastAsia="en-GB"/>
              </w:rPr>
              <w:t xml:space="preserve">, including the development of a substantially revised probabilistic hazard model. In 2014, </w:t>
            </w:r>
            <w:r w:rsidR="00D75574">
              <w:rPr>
                <w:rFonts w:cs="Arial"/>
                <w:lang w:val="en-GB" w:eastAsia="en-GB"/>
              </w:rPr>
              <w:t>The Director of CDEM</w:t>
            </w:r>
            <w:r w:rsidRPr="00994F31">
              <w:rPr>
                <w:rFonts w:cs="Arial"/>
                <w:lang w:val="en-GB" w:eastAsia="en-GB"/>
              </w:rPr>
              <w:t xml:space="preserve"> issued a </w:t>
            </w:r>
            <w:r w:rsidRPr="00D66915">
              <w:rPr>
                <w:rFonts w:cs="Arial"/>
                <w:i/>
                <w:lang w:val="en-GB" w:eastAsia="en-GB"/>
              </w:rPr>
              <w:t>Tsunami Warning Sirens Technical Standard [TS03/14]</w:t>
            </w:r>
            <w:r w:rsidR="00D75574">
              <w:rPr>
                <w:rFonts w:cs="Arial"/>
                <w:lang w:val="en-GB" w:eastAsia="en-GB"/>
              </w:rPr>
              <w:t xml:space="preserve"> (MCDEM 20</w:t>
            </w:r>
            <w:r w:rsidR="003B4AC9">
              <w:rPr>
                <w:rFonts w:cs="Arial"/>
                <w:lang w:val="en-GB" w:eastAsia="en-GB"/>
              </w:rPr>
              <w:t>14</w:t>
            </w:r>
            <w:r w:rsidR="00F836BF">
              <w:rPr>
                <w:rFonts w:cs="Arial"/>
                <w:lang w:val="en-GB" w:eastAsia="en-GB"/>
              </w:rPr>
              <w:t>a</w:t>
            </w:r>
            <w:r w:rsidR="00D75574">
              <w:rPr>
                <w:rFonts w:cs="Arial"/>
                <w:lang w:val="en-GB" w:eastAsia="en-GB"/>
              </w:rPr>
              <w:t>)</w:t>
            </w:r>
            <w:r w:rsidRPr="00994F31">
              <w:rPr>
                <w:rFonts w:cs="Arial"/>
                <w:lang w:val="en-GB" w:eastAsia="en-GB"/>
              </w:rPr>
              <w:t xml:space="preserve"> to guide the usage of sirens for tsunami warnings.</w:t>
            </w:r>
          </w:p>
        </w:tc>
      </w:tr>
      <w:tr w:rsidR="00953989" w:rsidTr="000D5A9A">
        <w:tc>
          <w:tcPr>
            <w:tcW w:w="1928" w:type="dxa"/>
            <w:tcMar>
              <w:right w:w="227" w:type="dxa"/>
            </w:tcMar>
          </w:tcPr>
          <w:p w:rsidR="00953989" w:rsidRPr="00CF5073" w:rsidRDefault="00953989" w:rsidP="00A44022">
            <w:pPr>
              <w:pStyle w:val="LHcolumn"/>
            </w:pPr>
          </w:p>
        </w:tc>
        <w:tc>
          <w:tcPr>
            <w:tcW w:w="7711" w:type="dxa"/>
          </w:tcPr>
          <w:p w:rsidR="00953989" w:rsidRPr="00994F31" w:rsidRDefault="00953989" w:rsidP="00A44022">
            <w:pPr>
              <w:autoSpaceDE w:val="0"/>
              <w:autoSpaceDN w:val="0"/>
              <w:adjustRightInd w:val="0"/>
              <w:rPr>
                <w:rFonts w:cs="Arial"/>
                <w:color w:val="000000"/>
                <w:lang w:val="en-GB" w:eastAsia="en-GB"/>
              </w:rPr>
            </w:pPr>
            <w:r w:rsidRPr="00994F31">
              <w:rPr>
                <w:rFonts w:cs="Arial"/>
                <w:lang w:val="en-GB" w:eastAsia="en-GB"/>
              </w:rPr>
              <w:t xml:space="preserve">In </w:t>
            </w:r>
            <w:r>
              <w:rPr>
                <w:rFonts w:cs="Arial"/>
                <w:lang w:val="en-GB" w:eastAsia="en-GB"/>
              </w:rPr>
              <w:t xml:space="preserve">October </w:t>
            </w:r>
            <w:r w:rsidRPr="00994F31">
              <w:rPr>
                <w:rFonts w:cs="Arial"/>
                <w:lang w:val="en-GB" w:eastAsia="en-GB"/>
              </w:rPr>
              <w:t xml:space="preserve">2014, a workshop was held in Gisborne to identify issues and challenges with using tsunami science to inform evacuation planning and land use planning, and to develop solutions and recommendations for achieving national consistency of usage. Since 2008, the CDEM sector has developed considerable experience with implementation of the </w:t>
            </w:r>
            <w:r>
              <w:rPr>
                <w:rFonts w:cs="Arial"/>
                <w:lang w:val="en-GB" w:eastAsia="en-GB"/>
              </w:rPr>
              <w:t xml:space="preserve">former </w:t>
            </w:r>
            <w:r w:rsidRPr="00D66915">
              <w:rPr>
                <w:rFonts w:cs="Arial"/>
                <w:i/>
                <w:lang w:val="en-GB" w:eastAsia="en-GB"/>
              </w:rPr>
              <w:t xml:space="preserve">Tsunami Evacuation Zones [DGL 08/08] </w:t>
            </w:r>
            <w:r>
              <w:rPr>
                <w:rFonts w:cs="Arial"/>
                <w:lang w:val="en-GB" w:eastAsia="en-GB"/>
              </w:rPr>
              <w:t>national guidance</w:t>
            </w:r>
            <w:r w:rsidRPr="00994F31">
              <w:rPr>
                <w:rFonts w:cs="Arial"/>
                <w:lang w:val="en-GB" w:eastAsia="en-GB"/>
              </w:rPr>
              <w:t>, and the issues and challenges with its usage</w:t>
            </w:r>
            <w:r>
              <w:rPr>
                <w:rFonts w:cs="Arial"/>
                <w:lang w:val="en-GB" w:eastAsia="en-GB"/>
              </w:rPr>
              <w:t>.</w:t>
            </w:r>
          </w:p>
        </w:tc>
      </w:tr>
    </w:tbl>
    <w:p w:rsidR="00953989" w:rsidRDefault="00953989" w:rsidP="00A44022"/>
    <w:p w:rsidR="001352FB" w:rsidRPr="00994F31" w:rsidRDefault="00994F31" w:rsidP="00A44022">
      <w:pPr>
        <w:pStyle w:val="Heading2"/>
      </w:pPr>
      <w:bookmarkStart w:id="22" w:name="_Toc443381804"/>
      <w:r>
        <w:t>Purpose</w:t>
      </w:r>
      <w:r w:rsidR="00171AC4">
        <w:t xml:space="preserve"> of </w:t>
      </w:r>
      <w:r w:rsidR="00721D6A">
        <w:t xml:space="preserve">evacuation </w:t>
      </w:r>
      <w:r w:rsidR="00171AC4">
        <w:t xml:space="preserve">in </w:t>
      </w:r>
      <w:r w:rsidR="00721D6A">
        <w:t>tsunami risk management</w:t>
      </w:r>
      <w:bookmarkEnd w:id="2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1"/>
        <w:gridCol w:w="7702"/>
      </w:tblGrid>
      <w:tr w:rsidR="001352FB" w:rsidTr="001352FB">
        <w:tc>
          <w:tcPr>
            <w:tcW w:w="1931" w:type="dxa"/>
            <w:tcMar>
              <w:right w:w="227" w:type="dxa"/>
            </w:tcMar>
          </w:tcPr>
          <w:p w:rsidR="001352FB" w:rsidRDefault="001352FB" w:rsidP="00A44022">
            <w:pPr>
              <w:pStyle w:val="LHcolumn"/>
            </w:pPr>
          </w:p>
        </w:tc>
        <w:tc>
          <w:tcPr>
            <w:tcW w:w="7702" w:type="dxa"/>
          </w:tcPr>
          <w:p w:rsidR="0057135A" w:rsidRPr="0057135A" w:rsidRDefault="0057135A" w:rsidP="00A44022">
            <w:pPr>
              <w:pStyle w:val="Clientbody"/>
              <w:spacing w:before="120" w:after="120" w:line="276" w:lineRule="auto"/>
              <w:jc w:val="left"/>
              <w:rPr>
                <w:rFonts w:cs="Arial"/>
              </w:rPr>
            </w:pPr>
            <w:r w:rsidRPr="0057135A">
              <w:rPr>
                <w:rFonts w:cs="Arial"/>
              </w:rPr>
              <w:t xml:space="preserve">The evacuation of a particular area may be necessary when a tsunami threatens the safety of people within the anticipated inundation area. Evacuation becomes necessary when the benefits of leaving the area significantly outweigh the risk of ‘sheltering-in-place’. Evacuation planning is the process </w:t>
            </w:r>
            <w:r w:rsidR="00B01FB9">
              <w:rPr>
                <w:rFonts w:cs="Arial"/>
              </w:rPr>
              <w:t>of</w:t>
            </w:r>
            <w:r w:rsidR="00B01FB9" w:rsidRPr="0057135A">
              <w:rPr>
                <w:rFonts w:cs="Arial"/>
              </w:rPr>
              <w:t xml:space="preserve"> </w:t>
            </w:r>
            <w:r w:rsidRPr="0057135A">
              <w:rPr>
                <w:rFonts w:cs="Arial"/>
              </w:rPr>
              <w:t>identifying areas potentially at risk from tsunami, and the actions required to ensure the safety of people while evacuating from those areas.</w:t>
            </w:r>
          </w:p>
          <w:p w:rsidR="0057135A" w:rsidRPr="0057135A" w:rsidRDefault="0057135A" w:rsidP="00A44022">
            <w:pPr>
              <w:pStyle w:val="Clientbody"/>
              <w:spacing w:before="120" w:after="120" w:line="276" w:lineRule="auto"/>
              <w:jc w:val="left"/>
              <w:rPr>
                <w:rFonts w:cs="Arial"/>
              </w:rPr>
            </w:pPr>
            <w:r w:rsidRPr="0057135A">
              <w:rPr>
                <w:rFonts w:cs="Arial"/>
              </w:rPr>
              <w:t xml:space="preserve">Evacuation planning is therefore a fundamental component of </w:t>
            </w:r>
            <w:r w:rsidR="00B01FB9">
              <w:rPr>
                <w:rFonts w:cs="Arial"/>
              </w:rPr>
              <w:t xml:space="preserve">CDEM </w:t>
            </w:r>
            <w:r w:rsidRPr="0057135A">
              <w:rPr>
                <w:rFonts w:cs="Arial"/>
              </w:rPr>
              <w:t>for tsunami hazards</w:t>
            </w:r>
            <w:r w:rsidR="00171AC4">
              <w:rPr>
                <w:rFonts w:cs="Arial"/>
              </w:rPr>
              <w:t xml:space="preserve">, and </w:t>
            </w:r>
            <w:r w:rsidRPr="0057135A">
              <w:rPr>
                <w:rFonts w:cs="Arial"/>
              </w:rPr>
              <w:t>this guideline provide</w:t>
            </w:r>
            <w:r w:rsidR="000F4BA2">
              <w:rPr>
                <w:rFonts w:cs="Arial"/>
              </w:rPr>
              <w:t>s</w:t>
            </w:r>
            <w:r w:rsidR="00171AC4">
              <w:rPr>
                <w:rFonts w:cs="Arial"/>
              </w:rPr>
              <w:t xml:space="preserve"> </w:t>
            </w:r>
            <w:r w:rsidR="00B01FB9">
              <w:rPr>
                <w:rFonts w:cs="Arial"/>
              </w:rPr>
              <w:t xml:space="preserve">a </w:t>
            </w:r>
            <w:r w:rsidRPr="0057135A">
              <w:rPr>
                <w:rFonts w:cs="Arial"/>
              </w:rPr>
              <w:t xml:space="preserve">nationally consistent </w:t>
            </w:r>
            <w:r w:rsidR="00171AC4">
              <w:rPr>
                <w:rFonts w:cs="Arial"/>
              </w:rPr>
              <w:t>approach to</w:t>
            </w:r>
            <w:r w:rsidRPr="0057135A">
              <w:rPr>
                <w:rFonts w:cs="Arial"/>
              </w:rPr>
              <w:t xml:space="preserve"> developing tsunami evacuation zones, maps, and</w:t>
            </w:r>
            <w:r w:rsidR="00171AC4">
              <w:rPr>
                <w:rFonts w:cs="Arial"/>
              </w:rPr>
              <w:t xml:space="preserve"> public</w:t>
            </w:r>
            <w:r w:rsidRPr="0057135A">
              <w:rPr>
                <w:rFonts w:cs="Arial"/>
              </w:rPr>
              <w:t xml:space="preserve"> information.</w:t>
            </w:r>
          </w:p>
          <w:p w:rsidR="0057135A" w:rsidRPr="0057135A" w:rsidRDefault="0057135A" w:rsidP="00A44022">
            <w:pPr>
              <w:pStyle w:val="Clientbody"/>
              <w:spacing w:before="120" w:after="120" w:line="276" w:lineRule="auto"/>
              <w:jc w:val="left"/>
              <w:rPr>
                <w:rFonts w:cs="Arial"/>
              </w:rPr>
            </w:pPr>
            <w:r w:rsidRPr="0057135A">
              <w:rPr>
                <w:rFonts w:cs="Arial"/>
              </w:rPr>
              <w:t xml:space="preserve">The benefits of a </w:t>
            </w:r>
            <w:r w:rsidR="00171AC4">
              <w:rPr>
                <w:rFonts w:cs="Arial"/>
              </w:rPr>
              <w:t xml:space="preserve">nationally </w:t>
            </w:r>
            <w:r w:rsidRPr="0057135A">
              <w:rPr>
                <w:rFonts w:cs="Arial"/>
              </w:rPr>
              <w:t xml:space="preserve">consistent approach to tsunami evacuation </w:t>
            </w:r>
            <w:r w:rsidR="00171AC4">
              <w:rPr>
                <w:rFonts w:cs="Arial"/>
              </w:rPr>
              <w:t xml:space="preserve">planning </w:t>
            </w:r>
            <w:r w:rsidRPr="0057135A">
              <w:rPr>
                <w:rFonts w:cs="Arial"/>
              </w:rPr>
              <w:t>include</w:t>
            </w:r>
            <w:r w:rsidR="00171AC4">
              <w:rPr>
                <w:rFonts w:cs="Arial"/>
              </w:rPr>
              <w:t xml:space="preserve"> enabling</w:t>
            </w:r>
            <w:r w:rsidRPr="0057135A">
              <w:rPr>
                <w:rFonts w:cs="Arial"/>
              </w:rPr>
              <w:t>:</w:t>
            </w:r>
          </w:p>
          <w:p w:rsidR="0057135A" w:rsidRDefault="0057135A" w:rsidP="00A44022">
            <w:pPr>
              <w:pStyle w:val="Clientbody"/>
              <w:numPr>
                <w:ilvl w:val="0"/>
                <w:numId w:val="38"/>
              </w:numPr>
              <w:spacing w:before="120" w:after="120" w:line="276" w:lineRule="auto"/>
              <w:jc w:val="left"/>
              <w:rPr>
                <w:rFonts w:cs="Arial"/>
              </w:rPr>
            </w:pPr>
            <w:r w:rsidRPr="0057135A">
              <w:rPr>
                <w:rFonts w:cs="Arial"/>
              </w:rPr>
              <w:t>A common understanding across New Zealand communities of tsunami evacuation zones, maps, evacuation signage, and tsunami response actions</w:t>
            </w:r>
            <w:r w:rsidR="000E5F41">
              <w:rPr>
                <w:rFonts w:cs="Arial"/>
              </w:rPr>
              <w:t>.</w:t>
            </w:r>
          </w:p>
          <w:p w:rsidR="00721B5A" w:rsidRPr="00950BE1" w:rsidRDefault="0057135A" w:rsidP="00A44022">
            <w:pPr>
              <w:pStyle w:val="Clientbody"/>
              <w:numPr>
                <w:ilvl w:val="0"/>
                <w:numId w:val="38"/>
              </w:numPr>
              <w:spacing w:before="120" w:after="120" w:line="276" w:lineRule="auto"/>
              <w:jc w:val="left"/>
              <w:rPr>
                <w:rFonts w:cs="Arial"/>
              </w:rPr>
            </w:pPr>
            <w:r w:rsidRPr="00950BE1">
              <w:rPr>
                <w:rFonts w:cs="Arial"/>
                <w:lang w:eastAsia="en-NZ"/>
              </w:rPr>
              <w:t>Improved alignment of tsunami evacuation planning with processes for official tsunami warnings.</w:t>
            </w:r>
          </w:p>
        </w:tc>
      </w:tr>
    </w:tbl>
    <w:p w:rsidR="001431A5" w:rsidRPr="0057135A" w:rsidRDefault="0057135A" w:rsidP="00A44022">
      <w:pPr>
        <w:pStyle w:val="Heading1"/>
        <w:spacing w:after="120"/>
      </w:pPr>
      <w:bookmarkStart w:id="23" w:name="_Toc166994084"/>
      <w:bookmarkStart w:id="24" w:name="_Toc358962896"/>
      <w:bookmarkStart w:id="25" w:name="_Toc359403863"/>
      <w:bookmarkStart w:id="26" w:name="_Toc361064937"/>
      <w:bookmarkStart w:id="27" w:name="_Ref423528442"/>
      <w:bookmarkStart w:id="28" w:name="_Ref423528446"/>
      <w:bookmarkStart w:id="29" w:name="_Ref423528447"/>
      <w:bookmarkStart w:id="30" w:name="_Toc443381805"/>
      <w:r w:rsidRPr="0057135A">
        <w:lastRenderedPageBreak/>
        <w:t xml:space="preserve">Tsunami </w:t>
      </w:r>
      <w:r w:rsidR="00721D6A" w:rsidRPr="0057135A">
        <w:t>basics</w:t>
      </w:r>
      <w:bookmarkEnd w:id="23"/>
      <w:bookmarkEnd w:id="24"/>
      <w:bookmarkEnd w:id="25"/>
      <w:bookmarkEnd w:id="26"/>
      <w:bookmarkEnd w:id="27"/>
      <w:bookmarkEnd w:id="28"/>
      <w:bookmarkEnd w:id="29"/>
      <w:bookmarkEnd w:id="30"/>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331200" w:rsidTr="00331200">
        <w:tc>
          <w:tcPr>
            <w:tcW w:w="1928" w:type="dxa"/>
            <w:tcMar>
              <w:right w:w="227" w:type="dxa"/>
            </w:tcMar>
          </w:tcPr>
          <w:p w:rsidR="00331200" w:rsidRPr="00CF5073" w:rsidRDefault="00331200" w:rsidP="00A44022">
            <w:pPr>
              <w:pStyle w:val="LHcolumn"/>
            </w:pPr>
          </w:p>
        </w:tc>
        <w:tc>
          <w:tcPr>
            <w:tcW w:w="7711" w:type="dxa"/>
          </w:tcPr>
          <w:p w:rsidR="0057135A" w:rsidRPr="0057135A" w:rsidRDefault="0057135A" w:rsidP="00A44022">
            <w:pPr>
              <w:rPr>
                <w:rFonts w:cs="Arial"/>
              </w:rPr>
            </w:pPr>
            <w:r w:rsidRPr="0057135A">
              <w:rPr>
                <w:rFonts w:cs="Arial"/>
              </w:rPr>
              <w:t xml:space="preserve">A tsunami is a natural phenomenon consisting of a series of waves generated when a large volume of water in the sea, or in a lake, is rapidly displaced. </w:t>
            </w:r>
            <w:proofErr w:type="gramStart"/>
            <w:r w:rsidRPr="0057135A">
              <w:rPr>
                <w:rFonts w:cs="Arial"/>
              </w:rPr>
              <w:t>Tsunami are</w:t>
            </w:r>
            <w:proofErr w:type="gramEnd"/>
            <w:r w:rsidRPr="0057135A">
              <w:rPr>
                <w:rFonts w:cs="Arial"/>
              </w:rPr>
              <w:t xml:space="preserve"> known for their capacity to inundate coastlines, causing property damage, injuries, and loss of life. The principal sources of tsunami are:</w:t>
            </w:r>
          </w:p>
          <w:p w:rsidR="0057135A" w:rsidRPr="0057135A" w:rsidRDefault="000E5F41" w:rsidP="00A44022">
            <w:pPr>
              <w:numPr>
                <w:ilvl w:val="0"/>
                <w:numId w:val="16"/>
              </w:numPr>
              <w:suppressAutoHyphens/>
              <w:rPr>
                <w:rFonts w:cs="Arial"/>
              </w:rPr>
            </w:pPr>
            <w:r>
              <w:rPr>
                <w:rFonts w:cs="Arial"/>
              </w:rPr>
              <w:t>l</w:t>
            </w:r>
            <w:r w:rsidRPr="0057135A">
              <w:rPr>
                <w:rFonts w:cs="Arial"/>
              </w:rPr>
              <w:t xml:space="preserve">arge </w:t>
            </w:r>
            <w:r w:rsidR="0057135A" w:rsidRPr="0057135A">
              <w:rPr>
                <w:rFonts w:cs="Arial"/>
              </w:rPr>
              <w:t>submarine or coastal earthquakes, in which significant uplift or subsidence of the seaf</w:t>
            </w:r>
            <w:r>
              <w:rPr>
                <w:rFonts w:cs="Arial"/>
              </w:rPr>
              <w:t>loor, lakebed or coast occurs (t</w:t>
            </w:r>
            <w:r w:rsidR="0057135A" w:rsidRPr="0057135A">
              <w:rPr>
                <w:rFonts w:cs="Arial"/>
              </w:rPr>
              <w:t>his is the main source of tsunami and the basis of the evacuation zones defined within this guideline</w:t>
            </w:r>
            <w:r>
              <w:rPr>
                <w:rFonts w:cs="Arial"/>
              </w:rPr>
              <w:t>)</w:t>
            </w:r>
          </w:p>
          <w:p w:rsidR="0057135A" w:rsidRPr="0057135A" w:rsidRDefault="000E5F41" w:rsidP="00A44022">
            <w:pPr>
              <w:numPr>
                <w:ilvl w:val="0"/>
                <w:numId w:val="16"/>
              </w:numPr>
              <w:suppressAutoHyphens/>
              <w:rPr>
                <w:rFonts w:cs="Arial"/>
              </w:rPr>
            </w:pPr>
            <w:r>
              <w:rPr>
                <w:rFonts w:cs="Arial"/>
              </w:rPr>
              <w:t>u</w:t>
            </w:r>
            <w:r w:rsidRPr="0057135A">
              <w:rPr>
                <w:rFonts w:cs="Arial"/>
              </w:rPr>
              <w:t xml:space="preserve">nderwater </w:t>
            </w:r>
            <w:r w:rsidR="0057135A" w:rsidRPr="0057135A">
              <w:rPr>
                <w:rFonts w:cs="Arial"/>
              </w:rPr>
              <w:t>landslides, which may be triggered by an earthquake, or volcanic activity</w:t>
            </w:r>
          </w:p>
          <w:p w:rsidR="0057135A" w:rsidRPr="0057135A" w:rsidRDefault="000E5F41" w:rsidP="00A44022">
            <w:pPr>
              <w:numPr>
                <w:ilvl w:val="0"/>
                <w:numId w:val="16"/>
              </w:numPr>
              <w:suppressAutoHyphens/>
              <w:rPr>
                <w:rFonts w:cs="Arial"/>
              </w:rPr>
            </w:pPr>
            <w:r>
              <w:rPr>
                <w:rFonts w:cs="Arial"/>
              </w:rPr>
              <w:t>l</w:t>
            </w:r>
            <w:r w:rsidRPr="0057135A">
              <w:rPr>
                <w:rFonts w:cs="Arial"/>
              </w:rPr>
              <w:t xml:space="preserve">arge </w:t>
            </w:r>
            <w:r w:rsidR="0057135A" w:rsidRPr="0057135A">
              <w:rPr>
                <w:rFonts w:cs="Arial"/>
              </w:rPr>
              <w:t>landslides from coastal or lakeside cliffs</w:t>
            </w:r>
          </w:p>
          <w:p w:rsidR="0057135A" w:rsidRPr="0057135A" w:rsidRDefault="000E5F41" w:rsidP="00A44022">
            <w:pPr>
              <w:numPr>
                <w:ilvl w:val="0"/>
                <w:numId w:val="16"/>
              </w:numPr>
              <w:suppressAutoHyphens/>
              <w:rPr>
                <w:rFonts w:cs="Arial"/>
              </w:rPr>
            </w:pPr>
            <w:r>
              <w:rPr>
                <w:rFonts w:cs="Arial"/>
              </w:rPr>
              <w:t>v</w:t>
            </w:r>
            <w:r w:rsidRPr="0057135A">
              <w:rPr>
                <w:rFonts w:cs="Arial"/>
              </w:rPr>
              <w:t xml:space="preserve">olcanic </w:t>
            </w:r>
            <w:r w:rsidR="0057135A" w:rsidRPr="0057135A">
              <w:rPr>
                <w:rFonts w:cs="Arial"/>
              </w:rPr>
              <w:t>eruptions, such as underwater explosions or caldera collapse, pyroclastic flows and atmospheric pressure waves</w:t>
            </w:r>
            <w:r>
              <w:rPr>
                <w:rFonts w:cs="Arial"/>
              </w:rPr>
              <w:t>, and</w:t>
            </w:r>
          </w:p>
          <w:p w:rsidR="00331200" w:rsidRPr="00253B3D" w:rsidRDefault="000E5F41" w:rsidP="00A44022">
            <w:pPr>
              <w:pStyle w:val="ListParagraph"/>
              <w:numPr>
                <w:ilvl w:val="0"/>
                <w:numId w:val="16"/>
              </w:numPr>
            </w:pPr>
            <w:proofErr w:type="gramStart"/>
            <w:r>
              <w:rPr>
                <w:rFonts w:cs="Arial"/>
              </w:rPr>
              <w:t>m</w:t>
            </w:r>
            <w:r w:rsidRPr="0057135A">
              <w:rPr>
                <w:rFonts w:cs="Arial"/>
              </w:rPr>
              <w:t>eteor</w:t>
            </w:r>
            <w:proofErr w:type="gramEnd"/>
            <w:r w:rsidRPr="0057135A">
              <w:rPr>
                <w:rFonts w:cs="Arial"/>
              </w:rPr>
              <w:t xml:space="preserve"> </w:t>
            </w:r>
            <w:r w:rsidR="0057135A" w:rsidRPr="0057135A">
              <w:rPr>
                <w:rFonts w:cs="Arial"/>
              </w:rPr>
              <w:t>(bolide) splash</w:t>
            </w:r>
            <w:r w:rsidR="00153B71">
              <w:rPr>
                <w:rFonts w:cs="Arial"/>
              </w:rPr>
              <w:t>-</w:t>
            </w:r>
            <w:r w:rsidR="0057135A" w:rsidRPr="0057135A">
              <w:rPr>
                <w:rFonts w:cs="Arial"/>
              </w:rPr>
              <w:t>down, or an atmospheric air-burst over the ocean.</w:t>
            </w:r>
          </w:p>
        </w:tc>
      </w:tr>
    </w:tbl>
    <w:p w:rsidR="00953989" w:rsidRDefault="00953989" w:rsidP="00A44022"/>
    <w:p w:rsidR="00721B5A" w:rsidRPr="00A1192A" w:rsidRDefault="0057135A" w:rsidP="00A44022">
      <w:pPr>
        <w:pStyle w:val="Heading2"/>
      </w:pPr>
      <w:bookmarkStart w:id="31" w:name="_Toc443381806"/>
      <w:r w:rsidRPr="00A1192A">
        <w:t xml:space="preserve">Tsunami </w:t>
      </w:r>
      <w:r w:rsidR="00721D6A" w:rsidRPr="00A1192A">
        <w:t>generation</w:t>
      </w:r>
      <w:bookmarkEnd w:id="31"/>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7648"/>
      </w:tblGrid>
      <w:tr w:rsidR="00721B5A" w:rsidTr="00377A0A">
        <w:tc>
          <w:tcPr>
            <w:tcW w:w="1985" w:type="dxa"/>
            <w:tcMar>
              <w:right w:w="227" w:type="dxa"/>
            </w:tcMar>
          </w:tcPr>
          <w:p w:rsidR="00721B5A" w:rsidRDefault="00721B5A" w:rsidP="00A44022">
            <w:pPr>
              <w:pStyle w:val="LHcolumn"/>
            </w:pPr>
          </w:p>
        </w:tc>
        <w:tc>
          <w:tcPr>
            <w:tcW w:w="7648" w:type="dxa"/>
          </w:tcPr>
          <w:p w:rsidR="00721B5A" w:rsidRPr="0057135A" w:rsidRDefault="00924362" w:rsidP="00AF217C">
            <w:r>
              <w:t>For</w:t>
            </w:r>
            <w:r w:rsidRPr="0057135A">
              <w:t xml:space="preserve"> </w:t>
            </w:r>
            <w:r w:rsidR="0057135A" w:rsidRPr="0057135A">
              <w:t>tsunami</w:t>
            </w:r>
            <w:r>
              <w:t xml:space="preserve"> waves</w:t>
            </w:r>
            <w:r w:rsidR="0057135A" w:rsidRPr="0057135A">
              <w:t xml:space="preserve">, the whole water column from the </w:t>
            </w:r>
            <w:r w:rsidR="00B01FB9">
              <w:t>sea</w:t>
            </w:r>
            <w:r w:rsidR="00B01FB9" w:rsidRPr="0057135A">
              <w:t xml:space="preserve"> </w:t>
            </w:r>
            <w:r w:rsidR="0057135A" w:rsidRPr="0057135A">
              <w:t>or lake floor to its surface is affected, and tsunami</w:t>
            </w:r>
            <w:r>
              <w:t xml:space="preserve"> waves</w:t>
            </w:r>
            <w:r w:rsidR="0057135A" w:rsidRPr="0057135A">
              <w:t xml:space="preserve"> can have periods of up to tens of minutes. This is in contrast to </w:t>
            </w:r>
            <w:r>
              <w:t>ordinary coastal (</w:t>
            </w:r>
            <w:r w:rsidR="0057135A" w:rsidRPr="0057135A">
              <w:t>wind</w:t>
            </w:r>
            <w:r>
              <w:t>)</w:t>
            </w:r>
            <w:r w:rsidR="0057135A" w:rsidRPr="0057135A">
              <w:t xml:space="preserve"> waves which only distur</w:t>
            </w:r>
            <w:r w:rsidR="0057135A" w:rsidRPr="00AF217C">
              <w:t>b the surface of the water, and usually have periods of seconds to tens of seconds (</w:t>
            </w:r>
            <w:r w:rsidR="00AF217C" w:rsidRPr="00AF217C">
              <w:fldChar w:fldCharType="begin"/>
            </w:r>
            <w:r w:rsidR="00AF217C" w:rsidRPr="00AF217C">
              <w:instrText xml:space="preserve"> REF _Ref442785087 \h  \* MERGEFORMAT </w:instrText>
            </w:r>
            <w:r w:rsidR="00AF217C" w:rsidRPr="00AF217C">
              <w:fldChar w:fldCharType="separate"/>
            </w:r>
            <w:r w:rsidR="009B2134" w:rsidRPr="00A44022">
              <w:t xml:space="preserve">Figure </w:t>
            </w:r>
            <w:r w:rsidR="009B2134">
              <w:t>3</w:t>
            </w:r>
            <w:r w:rsidR="00AF217C" w:rsidRPr="00AF217C">
              <w:fldChar w:fldCharType="end"/>
            </w:r>
            <w:r w:rsidR="0057135A" w:rsidRPr="00AF217C">
              <w:t>).</w:t>
            </w:r>
          </w:p>
        </w:tc>
      </w:tr>
      <w:tr w:rsidR="00721B5A" w:rsidTr="00377A0A">
        <w:tc>
          <w:tcPr>
            <w:tcW w:w="1985" w:type="dxa"/>
            <w:tcMar>
              <w:right w:w="227" w:type="dxa"/>
            </w:tcMar>
          </w:tcPr>
          <w:p w:rsidR="00721B5A" w:rsidRDefault="00721B5A" w:rsidP="00A44022">
            <w:pPr>
              <w:pStyle w:val="LHcolumn"/>
            </w:pPr>
          </w:p>
        </w:tc>
        <w:tc>
          <w:tcPr>
            <w:tcW w:w="7648" w:type="dxa"/>
          </w:tcPr>
          <w:p w:rsidR="00F75989" w:rsidRDefault="006C5656" w:rsidP="00A44022">
            <w:pPr>
              <w:keepNext/>
            </w:pPr>
            <w:r>
              <w:rPr>
                <w:noProof/>
              </w:rPr>
              <w:drawing>
                <wp:inline distT="0" distB="0" distL="0" distR="0" wp14:anchorId="22007F73" wp14:editId="08262DFB">
                  <wp:extent cx="4676775" cy="1321559"/>
                  <wp:effectExtent l="0" t="0" r="0" b="0"/>
                  <wp:docPr id="1" name="Picture 1" descr="This image shows the difference between an ordinary coastal (wind) wave and a tsunami wave."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a:extLst>
                              <a:ext uri="{28A0092B-C50C-407E-A947-70E740481C1C}">
                                <a14:useLocalDpi xmlns:a14="http://schemas.microsoft.com/office/drawing/2010/main" val="0"/>
                              </a:ext>
                            </a:extLst>
                          </a:blip>
                          <a:srcRect l="889" t="2196" r="1012" b="32358"/>
                          <a:stretch/>
                        </pic:blipFill>
                        <pic:spPr bwMode="auto">
                          <a:xfrm>
                            <a:off x="0" y="0"/>
                            <a:ext cx="4711898" cy="1331484"/>
                          </a:xfrm>
                          <a:prstGeom prst="rect">
                            <a:avLst/>
                          </a:prstGeom>
                          <a:noFill/>
                          <a:ln>
                            <a:noFill/>
                          </a:ln>
                          <a:extLst>
                            <a:ext uri="{53640926-AAD7-44D8-BBD7-CCE9431645EC}">
                              <a14:shadowObscured xmlns:a14="http://schemas.microsoft.com/office/drawing/2010/main"/>
                            </a:ext>
                          </a:extLst>
                        </pic:spPr>
                      </pic:pic>
                    </a:graphicData>
                  </a:graphic>
                </wp:inline>
              </w:drawing>
            </w:r>
          </w:p>
          <w:p w:rsidR="005C4EE1" w:rsidRPr="00A44022" w:rsidRDefault="00F75989" w:rsidP="00A44022">
            <w:pPr>
              <w:pStyle w:val="Caption"/>
            </w:pPr>
            <w:bookmarkStart w:id="32" w:name="_Ref442785087"/>
            <w:r w:rsidRPr="00A44022">
              <w:t xml:space="preserve">Figure </w:t>
            </w:r>
            <w:fldSimple w:instr=" SEQ Figure \* ARABIC ">
              <w:r w:rsidR="009B2134">
                <w:rPr>
                  <w:noProof/>
                </w:rPr>
                <w:t>3</w:t>
              </w:r>
            </w:fldSimple>
            <w:bookmarkEnd w:id="32"/>
            <w:r w:rsidRPr="00A44022">
              <w:t xml:space="preserve">  The difference between an ordinary coastal (wind) wave (left) and a tsunami wave (right)</w:t>
            </w:r>
          </w:p>
        </w:tc>
      </w:tr>
    </w:tbl>
    <w:p w:rsidR="000E5F41" w:rsidRDefault="000E5F41"/>
    <w:p w:rsidR="000E5F41" w:rsidRDefault="000E5F41">
      <w:pPr>
        <w:spacing w:before="0" w:after="0" w:line="240" w:lineRule="auto"/>
      </w:pPr>
      <w: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7648"/>
      </w:tblGrid>
      <w:tr w:rsidR="002257CB" w:rsidTr="00377A0A">
        <w:tc>
          <w:tcPr>
            <w:tcW w:w="1985" w:type="dxa"/>
            <w:tcMar>
              <w:right w:w="227" w:type="dxa"/>
            </w:tcMar>
          </w:tcPr>
          <w:p w:rsidR="002257CB" w:rsidRDefault="000E5F41" w:rsidP="00A44022">
            <w:pPr>
              <w:pStyle w:val="LHcolumn"/>
            </w:pPr>
            <w:r>
              <w:lastRenderedPageBreak/>
              <w:t>Run-up height</w:t>
            </w:r>
          </w:p>
        </w:tc>
        <w:tc>
          <w:tcPr>
            <w:tcW w:w="7648" w:type="dxa"/>
          </w:tcPr>
          <w:p w:rsidR="002257CB" w:rsidRPr="002257CB" w:rsidRDefault="002257CB" w:rsidP="000E5F41">
            <w:r w:rsidRPr="0057135A">
              <w:t xml:space="preserve">When a tsunami </w:t>
            </w:r>
            <w:r w:rsidR="00924362">
              <w:t xml:space="preserve">wave </w:t>
            </w:r>
            <w:r w:rsidRPr="0057135A">
              <w:t>runs onto land</w:t>
            </w:r>
            <w:r>
              <w:t>,</w:t>
            </w:r>
            <w:r w:rsidRPr="0057135A">
              <w:t xml:space="preserve"> the run-up height above sea level it reaches can be up to double the at-shore amplitude, because the long wave length of </w:t>
            </w:r>
            <w:r w:rsidR="00924362">
              <w:t xml:space="preserve">a </w:t>
            </w:r>
            <w:r w:rsidRPr="0057135A">
              <w:t>tsunami</w:t>
            </w:r>
            <w:r w:rsidR="00924362">
              <w:t xml:space="preserve"> wave</w:t>
            </w:r>
            <w:r w:rsidRPr="0057135A">
              <w:t xml:space="preserve"> pushes water up hill (</w:t>
            </w:r>
            <w:r w:rsidR="00F20C22">
              <w:fldChar w:fldCharType="begin"/>
            </w:r>
            <w:r w:rsidR="00F20C22">
              <w:instrText xml:space="preserve"> REF _Ref442785150 \h </w:instrText>
            </w:r>
            <w:r w:rsidR="00F20C22">
              <w:fldChar w:fldCharType="separate"/>
            </w:r>
            <w:r w:rsidR="009B2134" w:rsidRPr="00A44022">
              <w:t xml:space="preserve">Figure </w:t>
            </w:r>
            <w:r w:rsidR="009B2134">
              <w:rPr>
                <w:noProof/>
              </w:rPr>
              <w:t>4</w:t>
            </w:r>
            <w:r w:rsidR="00F20C22">
              <w:fldChar w:fldCharType="end"/>
            </w:r>
            <w:r w:rsidRPr="0057135A">
              <w:t>). The largest run-ups typically occur where there are narrow valleys on a steep slope, leading to funnelling of the tsunami</w:t>
            </w:r>
            <w:r w:rsidR="00924362">
              <w:t xml:space="preserve"> wave</w:t>
            </w:r>
            <w:r w:rsidRPr="0057135A">
              <w:t xml:space="preserve"> into a small area.</w:t>
            </w:r>
          </w:p>
        </w:tc>
      </w:tr>
      <w:tr w:rsidR="002257CB" w:rsidTr="00377A0A">
        <w:tc>
          <w:tcPr>
            <w:tcW w:w="1985" w:type="dxa"/>
            <w:tcMar>
              <w:right w:w="227" w:type="dxa"/>
            </w:tcMar>
          </w:tcPr>
          <w:p w:rsidR="002257CB" w:rsidRDefault="002257CB" w:rsidP="00A44022">
            <w:pPr>
              <w:pStyle w:val="LHcolumn"/>
            </w:pPr>
          </w:p>
        </w:tc>
        <w:tc>
          <w:tcPr>
            <w:tcW w:w="7648" w:type="dxa"/>
          </w:tcPr>
          <w:p w:rsidR="00F75989" w:rsidRDefault="002257CB" w:rsidP="00A44022">
            <w:pPr>
              <w:keepNext/>
            </w:pPr>
            <w:r>
              <w:rPr>
                <w:noProof/>
              </w:rPr>
              <w:drawing>
                <wp:inline distT="0" distB="0" distL="0" distR="0" wp14:anchorId="3BBEA96F" wp14:editId="1C76EA75">
                  <wp:extent cx="4362298" cy="3966072"/>
                  <wp:effectExtent l="0" t="0" r="635" b="0"/>
                  <wp:docPr id="8" name="Picture 8" descr="This image shows the difference in run-up height and inundation distance on relatively flat coast land versus steep coastal land, for a tsunami of the same wave amplitude at the coast." title="Fig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4362450" cy="3966210"/>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2257CB" w:rsidRPr="00A44022" w:rsidRDefault="00F75989" w:rsidP="00A44022">
            <w:pPr>
              <w:pStyle w:val="Caption"/>
            </w:pPr>
            <w:bookmarkStart w:id="33" w:name="_Ref442785150"/>
            <w:r w:rsidRPr="00A44022">
              <w:t xml:space="preserve">Figure </w:t>
            </w:r>
            <w:fldSimple w:instr=" SEQ Figure \* ARABIC ">
              <w:r w:rsidR="009B2134">
                <w:rPr>
                  <w:noProof/>
                </w:rPr>
                <w:t>4</w:t>
              </w:r>
            </w:fldSimple>
            <w:bookmarkEnd w:id="33"/>
            <w:r w:rsidRPr="00A44022">
              <w:t xml:space="preserve"> The difference in run-up height and inundation distance on relatively flat coast land versus steep coastal land, for a tsunami of the same wave amplitude at the coast</w:t>
            </w:r>
          </w:p>
        </w:tc>
      </w:tr>
    </w:tbl>
    <w:p w:rsidR="001431A5" w:rsidRPr="008D07ED" w:rsidRDefault="008D07ED" w:rsidP="00A44022">
      <w:pPr>
        <w:pStyle w:val="Heading1"/>
        <w:spacing w:after="120"/>
      </w:pPr>
      <w:bookmarkStart w:id="34" w:name="_Toc166994096"/>
      <w:bookmarkStart w:id="35" w:name="_Toc358962897"/>
      <w:bookmarkStart w:id="36" w:name="_Toc359403880"/>
      <w:bookmarkStart w:id="37" w:name="_Ref423528462"/>
      <w:bookmarkStart w:id="38" w:name="_Ref423528466"/>
      <w:bookmarkStart w:id="39" w:name="_Toc443381807"/>
      <w:r w:rsidRPr="008D07ED">
        <w:lastRenderedPageBreak/>
        <w:t xml:space="preserve">Tsunami </w:t>
      </w:r>
      <w:r w:rsidR="00721D6A" w:rsidRPr="008D07ED">
        <w:t>evacuation zones</w:t>
      </w:r>
      <w:bookmarkEnd w:id="34"/>
      <w:bookmarkEnd w:id="35"/>
      <w:bookmarkEnd w:id="36"/>
      <w:bookmarkEnd w:id="37"/>
      <w:bookmarkEnd w:id="38"/>
      <w:bookmarkEnd w:id="39"/>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331200" w:rsidTr="00331200">
        <w:tc>
          <w:tcPr>
            <w:tcW w:w="1928" w:type="dxa"/>
            <w:tcMar>
              <w:right w:w="227" w:type="dxa"/>
            </w:tcMar>
          </w:tcPr>
          <w:p w:rsidR="00331200" w:rsidRPr="00CF5073" w:rsidRDefault="00331200" w:rsidP="00A44022">
            <w:pPr>
              <w:pStyle w:val="LHcolumn"/>
            </w:pPr>
          </w:p>
        </w:tc>
        <w:tc>
          <w:tcPr>
            <w:tcW w:w="7711" w:type="dxa"/>
          </w:tcPr>
          <w:p w:rsidR="00331200" w:rsidRDefault="00331200" w:rsidP="00A44022">
            <w:r>
              <w:t xml:space="preserve">This section provides a description of </w:t>
            </w:r>
            <w:r w:rsidR="008D07ED">
              <w:t xml:space="preserve">key considerations for tsunami </w:t>
            </w:r>
            <w:r w:rsidR="00924362">
              <w:t xml:space="preserve">evacuation </w:t>
            </w:r>
            <w:r w:rsidR="008D07ED">
              <w:t>planning</w:t>
            </w:r>
            <w:r w:rsidRPr="009575D3">
              <w:t>.</w:t>
            </w:r>
          </w:p>
          <w:p w:rsidR="008D07ED" w:rsidRDefault="008D07ED" w:rsidP="00A44022">
            <w:r>
              <w:t xml:space="preserve">These include </w:t>
            </w:r>
            <w:r w:rsidRPr="008D07ED">
              <w:t xml:space="preserve">the number of evacuation zones used for evacuation </w:t>
            </w:r>
            <w:r w:rsidR="00924362">
              <w:t>planning</w:t>
            </w:r>
            <w:r w:rsidRPr="008D07ED">
              <w:t>, establishing, defining and mapping the zones and the ways in which tsunami risk information is communicated to the public.</w:t>
            </w:r>
          </w:p>
          <w:p w:rsidR="00331200" w:rsidRPr="00253B3D" w:rsidRDefault="008D07ED" w:rsidP="00A44022">
            <w:r w:rsidRPr="008D07ED">
              <w:t xml:space="preserve">Maps of evacuation zones and routes are critical for communicating tsunami risk and emergency response information to the public, and for providing a common platform for evacuation planning. To ensure the effectiveness of both </w:t>
            </w:r>
            <w:r w:rsidR="00FF35C4">
              <w:t>evacuation planning</w:t>
            </w:r>
            <w:r w:rsidRPr="008D07ED">
              <w:t xml:space="preserve"> and its implementation during emergency response, a balance is required in this information between oversimplification and excessive detail</w:t>
            </w:r>
            <w:r>
              <w:t>.</w:t>
            </w:r>
          </w:p>
        </w:tc>
      </w:tr>
    </w:tbl>
    <w:p w:rsidR="00953989" w:rsidRDefault="00953989" w:rsidP="00A44022"/>
    <w:p w:rsidR="00721B5A" w:rsidRPr="008D07ED" w:rsidRDefault="008D07ED" w:rsidP="00A44022">
      <w:pPr>
        <w:pStyle w:val="Heading2"/>
      </w:pPr>
      <w:bookmarkStart w:id="40" w:name="_Toc443381808"/>
      <w:r w:rsidRPr="008D07ED">
        <w:t xml:space="preserve">Optimum </w:t>
      </w:r>
      <w:r w:rsidR="00721D6A">
        <w:t>and</w:t>
      </w:r>
      <w:r w:rsidRPr="008D07ED">
        <w:t xml:space="preserve"> </w:t>
      </w:r>
      <w:r w:rsidR="00721D6A" w:rsidRPr="008D07ED">
        <w:t xml:space="preserve">recommended number </w:t>
      </w:r>
      <w:r w:rsidRPr="008D07ED">
        <w:t xml:space="preserve">of </w:t>
      </w:r>
      <w:r w:rsidR="00721D6A" w:rsidRPr="008D07ED">
        <w:t>tsunami evacuation zones</w:t>
      </w:r>
      <w:bookmarkEnd w:id="4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1"/>
        <w:gridCol w:w="7702"/>
      </w:tblGrid>
      <w:tr w:rsidR="00721B5A" w:rsidTr="005F27F3">
        <w:tc>
          <w:tcPr>
            <w:tcW w:w="1931" w:type="dxa"/>
            <w:tcMar>
              <w:right w:w="227" w:type="dxa"/>
            </w:tcMar>
          </w:tcPr>
          <w:p w:rsidR="00721B5A" w:rsidRDefault="00721B5A" w:rsidP="00A44022">
            <w:pPr>
              <w:pStyle w:val="LHcolumn"/>
            </w:pPr>
          </w:p>
        </w:tc>
        <w:tc>
          <w:tcPr>
            <w:tcW w:w="7702" w:type="dxa"/>
          </w:tcPr>
          <w:p w:rsidR="00675FEA" w:rsidRPr="000F2BC3" w:rsidRDefault="00477C31" w:rsidP="00A44022">
            <w:r w:rsidRPr="000F2BC3">
              <w:t>Th</w:t>
            </w:r>
            <w:r w:rsidR="00954FF5" w:rsidRPr="000F2BC3">
              <w:t>is</w:t>
            </w:r>
            <w:r w:rsidRPr="000F2BC3">
              <w:t xml:space="preserve"> Guideline </w:t>
            </w:r>
            <w:r w:rsidR="00042AF5" w:rsidRPr="000F2BC3">
              <w:t>adopt</w:t>
            </w:r>
            <w:r w:rsidR="00954FF5" w:rsidRPr="000F2BC3">
              <w:t>s</w:t>
            </w:r>
            <w:r w:rsidR="00042AF5" w:rsidRPr="000F2BC3">
              <w:t xml:space="preserve"> a three zone (Red, Orange and Yellow) approach for tsunami evacuation planning.  </w:t>
            </w:r>
            <w:r w:rsidR="002E4A2B" w:rsidRPr="000F2BC3">
              <w:t>The characteristics of each of the three zones are given below. All zones should be defined on top of high tide</w:t>
            </w:r>
            <w:r w:rsidR="002E4A2B" w:rsidRPr="000F2BC3">
              <w:rPr>
                <w:rStyle w:val="FootnoteReference"/>
                <w:rFonts w:cs="Arial"/>
                <w:b/>
              </w:rPr>
              <w:footnoteReference w:id="3"/>
            </w:r>
            <w:r w:rsidR="002E4A2B" w:rsidRPr="000F2BC3">
              <w:rPr>
                <w:rFonts w:cs="Arial"/>
                <w:b/>
                <w:caps/>
              </w:rPr>
              <w:t>.</w:t>
            </w:r>
            <w:r w:rsidR="00675FEA" w:rsidRPr="000F2BC3">
              <w:rPr>
                <w:rFonts w:cs="Arial"/>
                <w:b/>
                <w:caps/>
              </w:rPr>
              <w:t xml:space="preserve">  </w:t>
            </w:r>
          </w:p>
          <w:p w:rsidR="00B61E63" w:rsidRPr="000F2BC3" w:rsidRDefault="00B61E63" w:rsidP="00A44022">
            <w:r w:rsidRPr="000F2BC3">
              <w:t>Use of</w:t>
            </w:r>
            <w:r w:rsidR="004B531C" w:rsidRPr="000F2BC3">
              <w:t xml:space="preserve"> a single </w:t>
            </w:r>
            <w:r w:rsidRPr="000F2BC3">
              <w:t xml:space="preserve">tsunami evacuation zone </w:t>
            </w:r>
            <w:r w:rsidR="007D226B">
              <w:t>could</w:t>
            </w:r>
            <w:r w:rsidR="003E4B3E" w:rsidRPr="000F2BC3">
              <w:t xml:space="preserve"> </w:t>
            </w:r>
            <w:r w:rsidR="005A7729" w:rsidRPr="000F2BC3">
              <w:t xml:space="preserve">have </w:t>
            </w:r>
            <w:r w:rsidR="009D7D12" w:rsidRPr="000F2BC3">
              <w:t>offer</w:t>
            </w:r>
            <w:r w:rsidR="008A76CB" w:rsidRPr="000F2BC3">
              <w:t>ed</w:t>
            </w:r>
            <w:r w:rsidRPr="000F2BC3">
              <w:t xml:space="preserve"> </w:t>
            </w:r>
            <w:r w:rsidR="00477C31" w:rsidRPr="000F2BC3">
              <w:t>some</w:t>
            </w:r>
            <w:r w:rsidRPr="000F2BC3">
              <w:t xml:space="preserve"> advantage</w:t>
            </w:r>
            <w:r w:rsidR="00477C31" w:rsidRPr="000F2BC3">
              <w:t>s</w:t>
            </w:r>
            <w:r w:rsidR="00485DFA" w:rsidRPr="000F2BC3">
              <w:t xml:space="preserve"> for</w:t>
            </w:r>
            <w:r w:rsidRPr="000F2BC3">
              <w:t xml:space="preserve"> simplicity </w:t>
            </w:r>
            <w:r w:rsidR="00485DFA" w:rsidRPr="000F2BC3">
              <w:t>in</w:t>
            </w:r>
            <w:r w:rsidRPr="000F2BC3">
              <w:t xml:space="preserve"> </w:t>
            </w:r>
            <w:r w:rsidR="00FF35C4">
              <w:t>evacuation</w:t>
            </w:r>
            <w:r w:rsidR="00FF35C4" w:rsidRPr="000F2BC3">
              <w:t xml:space="preserve"> </w:t>
            </w:r>
            <w:r w:rsidRPr="000F2BC3">
              <w:t>planning</w:t>
            </w:r>
            <w:r w:rsidR="005A7729" w:rsidRPr="000F2BC3">
              <w:t>,</w:t>
            </w:r>
            <w:r w:rsidRPr="000F2BC3">
              <w:t xml:space="preserve"> and </w:t>
            </w:r>
            <w:r w:rsidR="00485DFA" w:rsidRPr="000F2BC3">
              <w:t xml:space="preserve">for </w:t>
            </w:r>
            <w:r w:rsidRPr="000F2BC3">
              <w:t xml:space="preserve">public awareness and understanding. However, because a single zone </w:t>
            </w:r>
            <w:r w:rsidR="00DD568B" w:rsidRPr="000F2BC3">
              <w:t>would have to</w:t>
            </w:r>
            <w:r w:rsidRPr="000F2BC3">
              <w:t xml:space="preserve"> accommodate </w:t>
            </w:r>
            <w:r w:rsidR="00F07853" w:rsidRPr="000F2BC3">
              <w:t>for a</w:t>
            </w:r>
            <w:r w:rsidRPr="000F2BC3">
              <w:t xml:space="preserve"> </w:t>
            </w:r>
            <w:r w:rsidR="00DD568B" w:rsidRPr="000F2BC3">
              <w:t>full</w:t>
            </w:r>
            <w:r w:rsidRPr="000F2BC3">
              <w:t xml:space="preserve"> range of tsunami risk scenarios</w:t>
            </w:r>
            <w:r w:rsidR="00F07853" w:rsidRPr="000F2BC3">
              <w:t>,</w:t>
            </w:r>
            <w:r w:rsidRPr="000F2BC3">
              <w:t xml:space="preserve"> </w:t>
            </w:r>
            <w:r w:rsidR="00F07853" w:rsidRPr="000F2BC3">
              <w:t>it</w:t>
            </w:r>
            <w:r w:rsidRPr="000F2BC3">
              <w:t xml:space="preserve"> </w:t>
            </w:r>
            <w:r w:rsidR="005327E7" w:rsidRPr="000F2BC3">
              <w:t>can</w:t>
            </w:r>
            <w:r w:rsidRPr="000F2BC3">
              <w:t xml:space="preserve"> result in </w:t>
            </w:r>
            <w:r w:rsidR="00F07853" w:rsidRPr="000F2BC3">
              <w:t xml:space="preserve">frequent </w:t>
            </w:r>
            <w:r w:rsidRPr="000F2BC3">
              <w:t xml:space="preserve">‘over-evacuation’ of </w:t>
            </w:r>
            <w:r w:rsidR="00485DFA" w:rsidRPr="000F2BC3">
              <w:t xml:space="preserve">a </w:t>
            </w:r>
            <w:r w:rsidR="00BC5B80" w:rsidRPr="000F2BC3">
              <w:t xml:space="preserve">larger </w:t>
            </w:r>
            <w:r w:rsidR="00485DFA" w:rsidRPr="000F2BC3">
              <w:t>area</w:t>
            </w:r>
            <w:r w:rsidR="000D118E" w:rsidRPr="000F2BC3">
              <w:t xml:space="preserve"> </w:t>
            </w:r>
            <w:r w:rsidR="00485DFA" w:rsidRPr="000F2BC3">
              <w:t>than is necessary</w:t>
            </w:r>
            <w:r w:rsidRPr="000F2BC3">
              <w:t xml:space="preserve"> </w:t>
            </w:r>
            <w:r w:rsidR="00DD568B" w:rsidRPr="000F2BC3">
              <w:t>for</w:t>
            </w:r>
            <w:r w:rsidR="000D118E" w:rsidRPr="000F2BC3">
              <w:t xml:space="preserve"> </w:t>
            </w:r>
            <w:r w:rsidR="00EA067B" w:rsidRPr="000F2BC3">
              <w:t xml:space="preserve">more </w:t>
            </w:r>
            <w:r w:rsidR="00F07853" w:rsidRPr="000F2BC3">
              <w:t>likely</w:t>
            </w:r>
            <w:r w:rsidR="000D118E" w:rsidRPr="000F2BC3">
              <w:t xml:space="preserve">, </w:t>
            </w:r>
            <w:r w:rsidR="00EA067B" w:rsidRPr="000F2BC3">
              <w:t>smaller</w:t>
            </w:r>
            <w:r w:rsidRPr="000F2BC3">
              <w:t xml:space="preserve"> scale events.</w:t>
            </w:r>
            <w:r w:rsidR="000D118E" w:rsidRPr="000F2BC3">
              <w:t xml:space="preserve"> </w:t>
            </w:r>
            <w:r w:rsidR="00F34F8D" w:rsidRPr="000F2BC3">
              <w:t xml:space="preserve">As well as having extra people to manage during the evacuation, </w:t>
            </w:r>
            <w:r w:rsidR="005327E7" w:rsidRPr="000F2BC3">
              <w:t>it</w:t>
            </w:r>
            <w:r w:rsidR="00F34F8D" w:rsidRPr="000F2BC3">
              <w:t xml:space="preserve"> creates more inconvenience</w:t>
            </w:r>
            <w:r w:rsidR="00E8018F" w:rsidRPr="000F2BC3">
              <w:t xml:space="preserve"> for the public</w:t>
            </w:r>
            <w:r w:rsidR="00F34F8D" w:rsidRPr="000F2BC3">
              <w:t>.</w:t>
            </w:r>
            <w:r w:rsidRPr="000F2BC3">
              <w:t xml:space="preserve"> </w:t>
            </w:r>
            <w:r w:rsidR="00E8018F" w:rsidRPr="000F2BC3">
              <w:t>As such, r</w:t>
            </w:r>
            <w:r w:rsidRPr="000F2BC3">
              <w:t>e</w:t>
            </w:r>
            <w:r w:rsidR="005C5F3D" w:rsidRPr="000F2BC3">
              <w:t>peated</w:t>
            </w:r>
            <w:r w:rsidRPr="000F2BC3">
              <w:t xml:space="preserve"> </w:t>
            </w:r>
            <w:r w:rsidR="00F9666D" w:rsidRPr="000F2BC3">
              <w:t>‘</w:t>
            </w:r>
            <w:r w:rsidRPr="000F2BC3">
              <w:t>over-evacuation</w:t>
            </w:r>
            <w:r w:rsidR="00F9666D" w:rsidRPr="000F2BC3">
              <w:t>’</w:t>
            </w:r>
            <w:r w:rsidRPr="000F2BC3">
              <w:t xml:space="preserve"> </w:t>
            </w:r>
            <w:r w:rsidR="00E8018F" w:rsidRPr="000F2BC3">
              <w:t>could</w:t>
            </w:r>
            <w:r w:rsidRPr="000F2BC3">
              <w:t xml:space="preserve"> result in decreasing levels of community trust </w:t>
            </w:r>
            <w:r w:rsidR="005327E7" w:rsidRPr="000F2BC3">
              <w:t>in,</w:t>
            </w:r>
            <w:r w:rsidR="009A7774" w:rsidRPr="000F2BC3">
              <w:t xml:space="preserve"> </w:t>
            </w:r>
            <w:r w:rsidR="005C5F3D" w:rsidRPr="000F2BC3">
              <w:t>and compliance with,</w:t>
            </w:r>
            <w:r w:rsidRPr="000F2BC3">
              <w:t xml:space="preserve"> emergency response arrangements.</w:t>
            </w:r>
            <w:r w:rsidR="00E8018F" w:rsidRPr="000F2BC3">
              <w:t xml:space="preserve"> </w:t>
            </w:r>
            <w:r w:rsidR="000F2DC6" w:rsidRPr="000F2BC3">
              <w:t>Nevertheless</w:t>
            </w:r>
            <w:r w:rsidR="00E8018F" w:rsidRPr="000F2BC3">
              <w:t xml:space="preserve"> there </w:t>
            </w:r>
            <w:r w:rsidR="000F2DC6" w:rsidRPr="000F2BC3">
              <w:t>will be</w:t>
            </w:r>
            <w:r w:rsidR="00F07853" w:rsidRPr="000F2BC3">
              <w:t xml:space="preserve"> situations </w:t>
            </w:r>
            <w:r w:rsidR="00E8018F" w:rsidRPr="000F2BC3">
              <w:t xml:space="preserve">when combining </w:t>
            </w:r>
            <w:r w:rsidR="009A7774" w:rsidRPr="000F2BC3">
              <w:t xml:space="preserve">two </w:t>
            </w:r>
            <w:r w:rsidR="00E8018F" w:rsidRPr="000F2BC3">
              <w:t xml:space="preserve">zones </w:t>
            </w:r>
            <w:r w:rsidR="005327E7" w:rsidRPr="000F2BC3">
              <w:t xml:space="preserve">into one </w:t>
            </w:r>
            <w:r w:rsidR="000F2DC6" w:rsidRPr="000F2BC3">
              <w:t>are</w:t>
            </w:r>
            <w:r w:rsidR="0038305D" w:rsidRPr="000F2BC3">
              <w:t xml:space="preserve"> justified</w:t>
            </w:r>
            <w:r w:rsidR="009A7774" w:rsidRPr="000F2BC3">
              <w:t xml:space="preserve"> (see </w:t>
            </w:r>
            <w:r w:rsidR="000F2DC6" w:rsidRPr="000F2BC3">
              <w:rPr>
                <w:i/>
              </w:rPr>
              <w:t>Recommended u</w:t>
            </w:r>
            <w:r w:rsidR="009A7774" w:rsidRPr="000F2BC3">
              <w:rPr>
                <w:i/>
              </w:rPr>
              <w:t>se of Zones</w:t>
            </w:r>
            <w:r w:rsidR="00A36A28" w:rsidRPr="000F2BC3">
              <w:t xml:space="preserve"> at </w:t>
            </w:r>
            <w:r w:rsidR="000F2DC6" w:rsidRPr="000F2BC3">
              <w:t xml:space="preserve">the </w:t>
            </w:r>
            <w:r w:rsidR="00A36A28" w:rsidRPr="000F2BC3">
              <w:t>end of this sub-section).</w:t>
            </w:r>
            <w:r w:rsidR="009A7774" w:rsidRPr="000F2BC3">
              <w:t xml:space="preserve"> </w:t>
            </w:r>
            <w:r w:rsidR="00E8018F" w:rsidRPr="000F2BC3">
              <w:t xml:space="preserve">   </w:t>
            </w:r>
          </w:p>
          <w:p w:rsidR="00116442" w:rsidRDefault="003E4B3E" w:rsidP="00A44022">
            <w:r w:rsidRPr="000F2BC3">
              <w:t>At the other extreme, u</w:t>
            </w:r>
            <w:r w:rsidR="00B61E63" w:rsidRPr="000F2BC3">
              <w:t>s</w:t>
            </w:r>
            <w:r w:rsidR="007D226B">
              <w:t>ing</w:t>
            </w:r>
            <w:r w:rsidR="00B61E63" w:rsidRPr="000F2BC3">
              <w:t xml:space="preserve"> more than three evacuation zones </w:t>
            </w:r>
            <w:r w:rsidR="007D226B">
              <w:t>c</w:t>
            </w:r>
            <w:r w:rsidR="005327E7" w:rsidRPr="000F2BC3">
              <w:t>ould</w:t>
            </w:r>
            <w:r w:rsidR="00B61E63" w:rsidRPr="000F2BC3">
              <w:t xml:space="preserve"> more accurately reflect </w:t>
            </w:r>
            <w:r w:rsidR="007D226B">
              <w:t>a</w:t>
            </w:r>
            <w:r w:rsidR="00E329ED" w:rsidRPr="000F2BC3">
              <w:t xml:space="preserve"> </w:t>
            </w:r>
            <w:r w:rsidR="00A36A28" w:rsidRPr="000F2BC3">
              <w:t xml:space="preserve">full </w:t>
            </w:r>
            <w:r w:rsidR="00B61E63" w:rsidRPr="000F2BC3">
              <w:t>range of tsunami risk scenarios. However, such differentiation requires far greater resources</w:t>
            </w:r>
            <w:r w:rsidR="00E329ED" w:rsidRPr="000F2BC3">
              <w:t xml:space="preserve"> to map</w:t>
            </w:r>
            <w:r w:rsidR="005327E7" w:rsidRPr="000F2BC3">
              <w:t>,</w:t>
            </w:r>
            <w:r w:rsidR="00E329ED" w:rsidRPr="000F2BC3">
              <w:t xml:space="preserve"> </w:t>
            </w:r>
            <w:r w:rsidR="00B61E63" w:rsidRPr="000F2BC3">
              <w:t xml:space="preserve">and </w:t>
            </w:r>
            <w:r w:rsidR="00227D8E" w:rsidRPr="000F2BC3">
              <w:t xml:space="preserve">levels of </w:t>
            </w:r>
            <w:r w:rsidR="00B61E63" w:rsidRPr="000F2BC3">
              <w:t xml:space="preserve">coordination </w:t>
            </w:r>
            <w:r w:rsidR="005327E7" w:rsidRPr="000F2BC3">
              <w:t xml:space="preserve">in planning and </w:t>
            </w:r>
            <w:r w:rsidR="00F9666D" w:rsidRPr="000F2BC3">
              <w:t>manag</w:t>
            </w:r>
            <w:r w:rsidR="005327E7" w:rsidRPr="000F2BC3">
              <w:t>ing</w:t>
            </w:r>
            <w:r w:rsidR="00F9666D" w:rsidRPr="000F2BC3">
              <w:t xml:space="preserve"> </w:t>
            </w:r>
            <w:r w:rsidR="00B61E63" w:rsidRPr="000F2BC3">
              <w:t>response</w:t>
            </w:r>
            <w:r w:rsidR="00F9666D" w:rsidRPr="000F2BC3">
              <w:t xml:space="preserve">s </w:t>
            </w:r>
            <w:r w:rsidR="00851546" w:rsidRPr="000F2BC3">
              <w:t xml:space="preserve">for </w:t>
            </w:r>
            <w:r w:rsidR="00F9666D" w:rsidRPr="000F2BC3">
              <w:t xml:space="preserve">each threat </w:t>
            </w:r>
            <w:r w:rsidR="00BD1956" w:rsidRPr="000F2BC3">
              <w:t>or</w:t>
            </w:r>
            <w:r w:rsidR="00F9666D" w:rsidRPr="000F2BC3">
              <w:t xml:space="preserve"> event</w:t>
            </w:r>
            <w:r w:rsidR="009D7D12" w:rsidRPr="000F2BC3">
              <w:t xml:space="preserve">. </w:t>
            </w:r>
            <w:r w:rsidR="007D226B">
              <w:t>This greater</w:t>
            </w:r>
            <w:r w:rsidR="00B61E63" w:rsidRPr="000F2BC3">
              <w:t xml:space="preserve"> complexity </w:t>
            </w:r>
            <w:r w:rsidR="007D226B">
              <w:t>also</w:t>
            </w:r>
            <w:r w:rsidR="000F2DC6" w:rsidRPr="000F2BC3">
              <w:t xml:space="preserve"> </w:t>
            </w:r>
            <w:r w:rsidR="00B61E63" w:rsidRPr="000F2BC3">
              <w:t>create</w:t>
            </w:r>
            <w:r w:rsidR="007D226B">
              <w:t>s</w:t>
            </w:r>
            <w:r w:rsidR="00B61E63" w:rsidRPr="000F2BC3">
              <w:t xml:space="preserve"> </w:t>
            </w:r>
            <w:r w:rsidR="009D7D12" w:rsidRPr="000F2BC3">
              <w:t xml:space="preserve">more scope for </w:t>
            </w:r>
            <w:r w:rsidR="00B61E63" w:rsidRPr="000F2BC3">
              <w:t>public misunderstanding</w:t>
            </w:r>
            <w:r w:rsidR="009D7D12" w:rsidRPr="000F2BC3">
              <w:t xml:space="preserve"> about what they need to know and do</w:t>
            </w:r>
            <w:r w:rsidR="00F9666D" w:rsidRPr="000F2BC3">
              <w:t xml:space="preserve"> in each instance</w:t>
            </w:r>
            <w:r w:rsidR="00B61E63" w:rsidRPr="000F2BC3">
              <w:t>.</w:t>
            </w:r>
          </w:p>
          <w:p w:rsidR="00953989" w:rsidRPr="002E4A2B" w:rsidRDefault="00953989" w:rsidP="00A44022">
            <w:pPr>
              <w:pStyle w:val="Spacer"/>
            </w:pPr>
          </w:p>
        </w:tc>
      </w:tr>
    </w:tbl>
    <w:p w:rsidR="00953989" w:rsidRDefault="00953989" w:rsidP="00A44022"/>
    <w:p w:rsidR="00953989" w:rsidRDefault="00953989" w:rsidP="00A44022">
      <w:pPr>
        <w:spacing w:before="0" w:after="0" w:line="240" w:lineRule="auto"/>
      </w:pPr>
      <w: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1"/>
        <w:gridCol w:w="7702"/>
      </w:tblGrid>
      <w:tr w:rsidR="00721B5A" w:rsidTr="005F27F3">
        <w:tc>
          <w:tcPr>
            <w:tcW w:w="1931" w:type="dxa"/>
            <w:tcMar>
              <w:right w:w="227" w:type="dxa"/>
            </w:tcMar>
          </w:tcPr>
          <w:p w:rsidR="00721B5A" w:rsidRDefault="00B61E63" w:rsidP="00A44022">
            <w:pPr>
              <w:pStyle w:val="LHcolumn"/>
            </w:pPr>
            <w:r w:rsidRPr="00116442">
              <w:rPr>
                <w:color w:val="FF0000"/>
              </w:rPr>
              <w:lastRenderedPageBreak/>
              <w:t>Red Zone</w:t>
            </w:r>
            <w:r w:rsidR="00DA2D11">
              <w:rPr>
                <w:color w:val="FF0000"/>
              </w:rPr>
              <w:t xml:space="preserve"> description</w:t>
            </w:r>
          </w:p>
        </w:tc>
        <w:tc>
          <w:tcPr>
            <w:tcW w:w="7702" w:type="dxa"/>
          </w:tcPr>
          <w:p w:rsidR="00721B5A" w:rsidRDefault="00B61E63" w:rsidP="00A44022">
            <w:r w:rsidRPr="00B61E63">
              <w:t xml:space="preserve">The Red </w:t>
            </w:r>
            <w:r w:rsidR="00B74BB7">
              <w:t>Z</w:t>
            </w:r>
            <w:r w:rsidRPr="00B61E63">
              <w:t xml:space="preserve">one is intended as a </w:t>
            </w:r>
            <w:r w:rsidR="00DA2D11">
              <w:t>marine and beach</w:t>
            </w:r>
            <w:r w:rsidRPr="00B61E63">
              <w:t xml:space="preserve"> exclusion zone </w:t>
            </w:r>
            <w:r w:rsidR="00DA2D11">
              <w:t xml:space="preserve">(including harbours, rivers and estuaries) </w:t>
            </w:r>
            <w:r w:rsidRPr="00B61E63">
              <w:t xml:space="preserve">that can be designated off limits in the event of any expected tsunami. This represents the highest risk zone and is the first place people should evacuate from in </w:t>
            </w:r>
            <w:r w:rsidR="00FF35C4">
              <w:t>all</w:t>
            </w:r>
            <w:r w:rsidRPr="00B61E63">
              <w:t xml:space="preserve"> </w:t>
            </w:r>
            <w:r w:rsidR="00FF35C4">
              <w:t xml:space="preserve">types of </w:t>
            </w:r>
            <w:r w:rsidRPr="00B61E63">
              <w:t>tsunami warning</w:t>
            </w:r>
            <w:r w:rsidR="00FF35C4">
              <w:t>s</w:t>
            </w:r>
            <w:r w:rsidR="009F0A8F">
              <w:t xml:space="preserve"> (i.e. natural or official)</w:t>
            </w:r>
            <w:r w:rsidRPr="00B61E63">
              <w:t xml:space="preserve">. People could expect ‘activation’ of this zone several times during their life.  Definition of the Red </w:t>
            </w:r>
            <w:r w:rsidR="00B74BB7">
              <w:t>Z</w:t>
            </w:r>
            <w:r w:rsidRPr="00B61E63">
              <w:t>one depends on the quality of elevation data available (see ‘Defining the Red Zone’ below).</w:t>
            </w:r>
            <w:r w:rsidR="00DA2D11">
              <w:t xml:space="preserve"> People should be advised to stay out of the Red Zone and be vigilant and take care in low lying coastal areas.</w:t>
            </w:r>
          </w:p>
          <w:p w:rsidR="00953989" w:rsidRDefault="00953989" w:rsidP="00A44022">
            <w:pPr>
              <w:pStyle w:val="Spacer"/>
            </w:pPr>
          </w:p>
        </w:tc>
      </w:tr>
      <w:tr w:rsidR="00116442" w:rsidTr="00377A0A">
        <w:tc>
          <w:tcPr>
            <w:tcW w:w="1931" w:type="dxa"/>
            <w:tcMar>
              <w:right w:w="227" w:type="dxa"/>
            </w:tcMar>
          </w:tcPr>
          <w:p w:rsidR="00116442" w:rsidRDefault="00116442" w:rsidP="00A44022">
            <w:pPr>
              <w:pStyle w:val="LHcolumn"/>
            </w:pPr>
            <w:r w:rsidRPr="00116442">
              <w:rPr>
                <w:color w:val="E36C0A" w:themeColor="accent6" w:themeShade="BF"/>
              </w:rPr>
              <w:t>Orange Zone</w:t>
            </w:r>
            <w:r w:rsidR="00DA2D11">
              <w:rPr>
                <w:color w:val="E36C0A" w:themeColor="accent6" w:themeShade="BF"/>
              </w:rPr>
              <w:t xml:space="preserve"> description</w:t>
            </w:r>
          </w:p>
        </w:tc>
        <w:tc>
          <w:tcPr>
            <w:tcW w:w="7702" w:type="dxa"/>
          </w:tcPr>
          <w:p w:rsidR="00116442" w:rsidRDefault="00116442" w:rsidP="00A44022">
            <w:r>
              <w:t xml:space="preserve">The Orange </w:t>
            </w:r>
            <w:r w:rsidR="00B74BB7">
              <w:t>Z</w:t>
            </w:r>
            <w:r>
              <w:t xml:space="preserve">one is intended to be the area evacuated in most if not all distant and regional-source official warnings (i.e. warnings that extend beyond the Red </w:t>
            </w:r>
            <w:r w:rsidR="00B74BB7">
              <w:t>Z</w:t>
            </w:r>
            <w:r>
              <w:t>one, for tsunami from sources more than one hour of travel time away from the mapped location). The intent is to provide for a middle-zone to avoid over-evacuation</w:t>
            </w:r>
            <w:r w:rsidR="00461DDA">
              <w:t xml:space="preserve"> in most official warnings</w:t>
            </w:r>
            <w:r w:rsidR="00B74BB7">
              <w:t>;</w:t>
            </w:r>
            <w:r>
              <w:t xml:space="preserve"> however larger regional/distant-source events may occur in which case the Yellow </w:t>
            </w:r>
            <w:r w:rsidR="00B74BB7">
              <w:t>Z</w:t>
            </w:r>
            <w:r>
              <w:t>one will apply.</w:t>
            </w:r>
          </w:p>
          <w:p w:rsidR="00116442" w:rsidRDefault="00116442" w:rsidP="00A44022">
            <w:r>
              <w:t>Local differentiation of this zone can be achieved using terms that are familiar to the community such as street names and key landmarks.</w:t>
            </w:r>
          </w:p>
          <w:p w:rsidR="00116442" w:rsidRDefault="00116442" w:rsidP="00A44022">
            <w:r>
              <w:t xml:space="preserve">The Orange Zone can be defined using modelling </w:t>
            </w:r>
            <w:r w:rsidR="00493E92">
              <w:t>L</w:t>
            </w:r>
            <w:r>
              <w:t xml:space="preserve">evels 2, 3 or 4 (see ‘Defining Evacuation Zone Boundaries’ below). </w:t>
            </w:r>
            <w:r w:rsidR="00461DDA">
              <w:t xml:space="preserve"> When using three zones this</w:t>
            </w:r>
            <w:r>
              <w:t xml:space="preserve"> zone should be rounded up to the nearest threat level boundary</w:t>
            </w:r>
            <w:r w:rsidR="007D20E1">
              <w:t>. This will</w:t>
            </w:r>
            <w:r>
              <w:t xml:space="preserve"> avoid ambiguity </w:t>
            </w:r>
            <w:r w:rsidR="007D20E1">
              <w:t>when</w:t>
            </w:r>
            <w:r>
              <w:t xml:space="preserve"> deciding between</w:t>
            </w:r>
            <w:r w:rsidR="007D20E1">
              <w:t xml:space="preserve"> whether an evacuation of either</w:t>
            </w:r>
            <w:r>
              <w:t xml:space="preserve"> </w:t>
            </w:r>
            <w:r w:rsidR="00461DDA">
              <w:t xml:space="preserve">the </w:t>
            </w:r>
            <w:r w:rsidR="009F0A8F">
              <w:t>O</w:t>
            </w:r>
            <w:r w:rsidR="00461DDA">
              <w:t xml:space="preserve">range </w:t>
            </w:r>
            <w:r w:rsidR="007D20E1">
              <w:t>or</w:t>
            </w:r>
            <w:r w:rsidR="00461DDA">
              <w:t xml:space="preserve"> </w:t>
            </w:r>
            <w:r w:rsidR="009F0A8F">
              <w:t>Y</w:t>
            </w:r>
            <w:r w:rsidR="00461DDA">
              <w:t xml:space="preserve">ellow </w:t>
            </w:r>
            <w:r>
              <w:t xml:space="preserve">zones </w:t>
            </w:r>
            <w:r w:rsidR="007D20E1">
              <w:t>is needed in response to a</w:t>
            </w:r>
            <w:r>
              <w:t xml:space="preserve"> National </w:t>
            </w:r>
            <w:r w:rsidR="007D20E1">
              <w:t xml:space="preserve">Tsunami </w:t>
            </w:r>
            <w:r>
              <w:t>Warning</w:t>
            </w:r>
            <w:r w:rsidR="007D20E1">
              <w:t xml:space="preserve"> message</w:t>
            </w:r>
            <w:r>
              <w:t>.</w:t>
            </w:r>
          </w:p>
          <w:p w:rsidR="00116442" w:rsidRDefault="00116442" w:rsidP="00A44022">
            <w:r>
              <w:t xml:space="preserve">The Orange </w:t>
            </w:r>
            <w:r w:rsidR="00B74BB7">
              <w:t>Z</w:t>
            </w:r>
            <w:r>
              <w:t xml:space="preserve">one will be obsolete in areas where the Yellow </w:t>
            </w:r>
            <w:r w:rsidR="00B74BB7">
              <w:t>Z</w:t>
            </w:r>
            <w:r>
              <w:t>one includes the maximum credible regional and distant-source tsunami.</w:t>
            </w:r>
          </w:p>
          <w:p w:rsidR="00953989" w:rsidRPr="00B61E63" w:rsidRDefault="00953989" w:rsidP="00A44022">
            <w:pPr>
              <w:pStyle w:val="Spacer"/>
            </w:pPr>
          </w:p>
        </w:tc>
      </w:tr>
      <w:tr w:rsidR="00116442" w:rsidTr="00377A0A">
        <w:tc>
          <w:tcPr>
            <w:tcW w:w="1931" w:type="dxa"/>
            <w:tcMar>
              <w:right w:w="227" w:type="dxa"/>
            </w:tcMar>
          </w:tcPr>
          <w:p w:rsidR="00116442" w:rsidRDefault="00116442" w:rsidP="00A44022">
            <w:pPr>
              <w:pStyle w:val="LHcolumn"/>
            </w:pPr>
            <w:r w:rsidRPr="00116442">
              <w:rPr>
                <w:color w:val="BFB500" w:themeColor="text2" w:themeShade="BF"/>
              </w:rPr>
              <w:t>Yellow Zone</w:t>
            </w:r>
            <w:r w:rsidR="00DA2D11">
              <w:rPr>
                <w:color w:val="BFB500" w:themeColor="text2" w:themeShade="BF"/>
              </w:rPr>
              <w:t xml:space="preserve"> description</w:t>
            </w:r>
          </w:p>
        </w:tc>
        <w:tc>
          <w:tcPr>
            <w:tcW w:w="7702" w:type="dxa"/>
          </w:tcPr>
          <w:p w:rsidR="00116442" w:rsidRPr="00116442" w:rsidRDefault="00116442" w:rsidP="00A44022">
            <w:pPr>
              <w:pStyle w:val="Clientbody"/>
              <w:spacing w:before="120" w:after="120" w:line="276" w:lineRule="auto"/>
              <w:jc w:val="left"/>
              <w:rPr>
                <w:rFonts w:cs="Arial"/>
              </w:rPr>
            </w:pPr>
            <w:r w:rsidRPr="00116442">
              <w:rPr>
                <w:rFonts w:cs="Arial"/>
              </w:rPr>
              <w:t xml:space="preserve">The Yellow </w:t>
            </w:r>
            <w:r w:rsidR="00B74BB7">
              <w:rPr>
                <w:rFonts w:cs="Arial"/>
              </w:rPr>
              <w:t>Z</w:t>
            </w:r>
            <w:r w:rsidRPr="00116442">
              <w:rPr>
                <w:rFonts w:cs="Arial"/>
              </w:rPr>
              <w:t>one should cover all maximum credible tsunami</w:t>
            </w:r>
            <w:r w:rsidR="009F0A8F">
              <w:rPr>
                <w:rFonts w:cs="Arial"/>
              </w:rPr>
              <w:t xml:space="preserve"> events</w:t>
            </w:r>
            <w:r w:rsidRPr="00116442">
              <w:rPr>
                <w:rFonts w:cs="Arial"/>
              </w:rPr>
              <w:t xml:space="preserve"> including the highest impact events (see ‘Defining Evacuation Zone Boundaries’ below). </w:t>
            </w:r>
            <w:r w:rsidR="00461DDA">
              <w:rPr>
                <w:rFonts w:cs="Arial"/>
              </w:rPr>
              <w:t xml:space="preserve">No rounding of the </w:t>
            </w:r>
            <w:r w:rsidR="009F0A8F">
              <w:rPr>
                <w:rFonts w:cs="Arial"/>
              </w:rPr>
              <w:t>Y</w:t>
            </w:r>
            <w:r w:rsidR="00461DDA">
              <w:rPr>
                <w:rFonts w:cs="Arial"/>
              </w:rPr>
              <w:t xml:space="preserve">ellow </w:t>
            </w:r>
            <w:r w:rsidR="009F0A8F">
              <w:rPr>
                <w:rFonts w:cs="Arial"/>
              </w:rPr>
              <w:t>Z</w:t>
            </w:r>
            <w:r w:rsidR="00461DDA">
              <w:rPr>
                <w:rFonts w:cs="Arial"/>
              </w:rPr>
              <w:t xml:space="preserve">one up to a threat level boundary is needed. </w:t>
            </w:r>
            <w:r w:rsidRPr="00116442">
              <w:rPr>
                <w:rFonts w:cs="Arial"/>
              </w:rPr>
              <w:t xml:space="preserve">The intention is that the Yellow </w:t>
            </w:r>
            <w:r w:rsidR="00B74BB7">
              <w:rPr>
                <w:rFonts w:cs="Arial"/>
              </w:rPr>
              <w:t>Z</w:t>
            </w:r>
            <w:r w:rsidRPr="00116442">
              <w:rPr>
                <w:rFonts w:cs="Arial"/>
              </w:rPr>
              <w:t>one provides for local-source maximum credible events, based on locally determined risk. People should evacuate this zone in natural or informal warnings from a local source event, and when instructed via formal warnings.</w:t>
            </w:r>
          </w:p>
          <w:p w:rsidR="00116442" w:rsidRPr="00116442" w:rsidRDefault="00116442" w:rsidP="00A44022">
            <w:pPr>
              <w:pStyle w:val="Clientbody"/>
              <w:spacing w:before="120" w:after="120" w:line="276" w:lineRule="auto"/>
              <w:jc w:val="left"/>
              <w:rPr>
                <w:rFonts w:cs="Arial"/>
              </w:rPr>
            </w:pPr>
            <w:r w:rsidRPr="00116442">
              <w:rPr>
                <w:rFonts w:cs="Arial"/>
              </w:rPr>
              <w:t xml:space="preserve">The Yellow </w:t>
            </w:r>
            <w:r w:rsidR="00B74BB7">
              <w:rPr>
                <w:rFonts w:cs="Arial"/>
              </w:rPr>
              <w:t>Z</w:t>
            </w:r>
            <w:r w:rsidRPr="00116442">
              <w:rPr>
                <w:rFonts w:cs="Arial"/>
              </w:rPr>
              <w:t xml:space="preserve">one can be defined using modelling </w:t>
            </w:r>
            <w:r w:rsidR="00493E92">
              <w:rPr>
                <w:rFonts w:cs="Arial"/>
              </w:rPr>
              <w:t>L</w:t>
            </w:r>
            <w:r w:rsidRPr="00116442">
              <w:rPr>
                <w:rFonts w:cs="Arial"/>
              </w:rPr>
              <w:t>evels 2, 3 or 4 (see ‘Defining Evacuation Zone Boundaries’ below).</w:t>
            </w:r>
          </w:p>
          <w:p w:rsidR="00116442" w:rsidRPr="00AF281B" w:rsidRDefault="00116442" w:rsidP="00A44022">
            <w:pPr>
              <w:pStyle w:val="Spacer"/>
            </w:pPr>
          </w:p>
        </w:tc>
      </w:tr>
      <w:tr w:rsidR="00042AF5" w:rsidTr="00377A0A">
        <w:tc>
          <w:tcPr>
            <w:tcW w:w="1931" w:type="dxa"/>
            <w:tcMar>
              <w:right w:w="227" w:type="dxa"/>
            </w:tcMar>
          </w:tcPr>
          <w:p w:rsidR="00042AF5" w:rsidRPr="00116442" w:rsidRDefault="002B140A" w:rsidP="00A44022">
            <w:pPr>
              <w:pStyle w:val="LHcolumn"/>
              <w:rPr>
                <w:color w:val="BFB500" w:themeColor="text2" w:themeShade="BF"/>
              </w:rPr>
            </w:pPr>
            <w:r>
              <w:t>Recommended u</w:t>
            </w:r>
            <w:r w:rsidR="009A7774" w:rsidRPr="009A7774">
              <w:t xml:space="preserve">se of </w:t>
            </w:r>
            <w:r w:rsidR="00953989">
              <w:t>z</w:t>
            </w:r>
            <w:r w:rsidR="009A7774" w:rsidRPr="009A7774">
              <w:t>ones</w:t>
            </w:r>
          </w:p>
        </w:tc>
        <w:tc>
          <w:tcPr>
            <w:tcW w:w="7702" w:type="dxa"/>
          </w:tcPr>
          <w:p w:rsidR="00675FEA" w:rsidRPr="002B140A" w:rsidRDefault="002E4A2B" w:rsidP="00A44022">
            <w:r w:rsidRPr="002B140A">
              <w:t xml:space="preserve">For each part of </w:t>
            </w:r>
            <w:r w:rsidR="00EE78D5" w:rsidRPr="002B140A">
              <w:t xml:space="preserve">a CDEM Group’s </w:t>
            </w:r>
            <w:r w:rsidRPr="002B140A">
              <w:t>coast</w:t>
            </w:r>
            <w:r w:rsidR="00EE78D5" w:rsidRPr="002B140A">
              <w:t>line</w:t>
            </w:r>
            <w:r w:rsidRPr="002B140A">
              <w:t xml:space="preserve"> the use of </w:t>
            </w:r>
            <w:r w:rsidR="00D35856" w:rsidRPr="002B140A">
              <w:t>either</w:t>
            </w:r>
            <w:r w:rsidRPr="002B140A">
              <w:t xml:space="preserve"> two or all three </w:t>
            </w:r>
            <w:r w:rsidR="00D35856" w:rsidRPr="002B140A">
              <w:t xml:space="preserve">of the </w:t>
            </w:r>
            <w:r w:rsidRPr="002B140A">
              <w:t>Red, Orange and Yellow</w:t>
            </w:r>
            <w:r w:rsidR="00D35856" w:rsidRPr="002B140A">
              <w:t xml:space="preserve"> </w:t>
            </w:r>
            <w:r w:rsidRPr="002B140A">
              <w:t xml:space="preserve">evacuation zones </w:t>
            </w:r>
            <w:r w:rsidR="00D35856" w:rsidRPr="002B140A">
              <w:t>is</w:t>
            </w:r>
            <w:r w:rsidRPr="002B140A">
              <w:t xml:space="preserve"> recommended for nationally consistent tsunami </w:t>
            </w:r>
            <w:r w:rsidR="009F0A8F">
              <w:t>evacuation</w:t>
            </w:r>
            <w:r w:rsidR="009F0A8F" w:rsidRPr="002B140A">
              <w:t xml:space="preserve"> </w:t>
            </w:r>
            <w:r w:rsidRPr="002B140A">
              <w:t>planning</w:t>
            </w:r>
            <w:r w:rsidR="00851546" w:rsidRPr="002B140A">
              <w:t>.</w:t>
            </w:r>
            <w:r w:rsidR="00227D8E" w:rsidRPr="002B140A">
              <w:t xml:space="preserve"> </w:t>
            </w:r>
          </w:p>
          <w:p w:rsidR="00042AF5" w:rsidRPr="00953989" w:rsidRDefault="002E4A2B" w:rsidP="00A44022">
            <w:r w:rsidRPr="002B140A">
              <w:t xml:space="preserve">If only two zones are used (e.g. when </w:t>
            </w:r>
            <w:r w:rsidR="00851546" w:rsidRPr="002B140A">
              <w:t>steep</w:t>
            </w:r>
            <w:r w:rsidRPr="002B140A">
              <w:t xml:space="preserve"> coastal land m</w:t>
            </w:r>
            <w:r w:rsidR="00D22C27" w:rsidRPr="002B140A">
              <w:t>eans</w:t>
            </w:r>
            <w:r w:rsidRPr="002B140A">
              <w:t xml:space="preserve"> the</w:t>
            </w:r>
            <w:r w:rsidR="00DE17B8" w:rsidRPr="002B140A">
              <w:t xml:space="preserve"> </w:t>
            </w:r>
            <w:r w:rsidR="009F0A8F">
              <w:t>O</w:t>
            </w:r>
            <w:r w:rsidRPr="002B140A">
              <w:t xml:space="preserve">range </w:t>
            </w:r>
            <w:r w:rsidR="003D06AC" w:rsidRPr="002B140A">
              <w:t>or</w:t>
            </w:r>
            <w:r w:rsidRPr="002B140A">
              <w:t xml:space="preserve"> </w:t>
            </w:r>
            <w:r w:rsidR="009F0A8F">
              <w:t>Y</w:t>
            </w:r>
            <w:r w:rsidRPr="002B140A">
              <w:t>ellow zone</w:t>
            </w:r>
            <w:r w:rsidR="003D06AC" w:rsidRPr="002B140A">
              <w:t xml:space="preserve"> becomes too</w:t>
            </w:r>
            <w:r w:rsidRPr="002B140A">
              <w:t xml:space="preserve"> narrow</w:t>
            </w:r>
            <w:r w:rsidR="003D06AC" w:rsidRPr="002B140A">
              <w:t xml:space="preserve"> to effectively </w:t>
            </w:r>
            <w:r w:rsidR="007A2A69" w:rsidRPr="002B140A">
              <w:t>map and apply</w:t>
            </w:r>
            <w:r w:rsidRPr="002B140A">
              <w:t xml:space="preserve">; or for simplicity within a lightly populated area), either the </w:t>
            </w:r>
            <w:r w:rsidR="00240ECD">
              <w:t xml:space="preserve">Red Zone should be extended inland to incorporate the Orange Zone, or the Orange Zone should be </w:t>
            </w:r>
            <w:r w:rsidR="00F61486">
              <w:t>extended inland to incorporate the Yellow Zone.</w:t>
            </w:r>
          </w:p>
        </w:tc>
      </w:tr>
      <w:tr w:rsidR="00953989" w:rsidTr="00377A0A">
        <w:tc>
          <w:tcPr>
            <w:tcW w:w="1931" w:type="dxa"/>
            <w:tcMar>
              <w:right w:w="227" w:type="dxa"/>
            </w:tcMar>
          </w:tcPr>
          <w:p w:rsidR="00953989" w:rsidRDefault="00953989" w:rsidP="00A44022">
            <w:pPr>
              <w:pStyle w:val="LHcolumn"/>
            </w:pPr>
          </w:p>
        </w:tc>
        <w:tc>
          <w:tcPr>
            <w:tcW w:w="7702" w:type="dxa"/>
          </w:tcPr>
          <w:p w:rsidR="00953989" w:rsidRDefault="00953989" w:rsidP="00A44022">
            <w:r>
              <w:t>The Yellow Zone should never be extended seawards to replace the Orange Zone, because a higher risk zone should not be incorporated into a lower risk zone.</w:t>
            </w:r>
          </w:p>
          <w:p w:rsidR="00953989" w:rsidRPr="002B140A" w:rsidRDefault="00953989" w:rsidP="00A44022">
            <w:r w:rsidRPr="002B140A">
              <w:t xml:space="preserve">This recommended approach also recognises that those parts of the coastline with sufficiently high coastal cliffs need only require a single Red Zone for practical purposes. </w:t>
            </w:r>
          </w:p>
          <w:p w:rsidR="00953989" w:rsidRPr="002B140A" w:rsidRDefault="00953989" w:rsidP="00A44022">
            <w:r w:rsidRPr="002B140A">
              <w:t xml:space="preserve">The recommended standard for displaying zones on evacuation maps and other colour publications is to use the relevant colours of Red, Orange, and Yellow. </w:t>
            </w:r>
            <w:r w:rsidRPr="00116442">
              <w:rPr>
                <w:rFonts w:cs="Arial"/>
              </w:rPr>
              <w:t xml:space="preserve">The </w:t>
            </w:r>
            <w:r>
              <w:rPr>
                <w:rFonts w:cs="Arial"/>
              </w:rPr>
              <w:t xml:space="preserve">use of words for these colours is also recommended to </w:t>
            </w:r>
            <w:r w:rsidRPr="00116442">
              <w:rPr>
                <w:rFonts w:cs="Arial"/>
              </w:rPr>
              <w:t>ensure clarity on greyscale reproductions.</w:t>
            </w:r>
          </w:p>
        </w:tc>
      </w:tr>
    </w:tbl>
    <w:p w:rsidR="00953989" w:rsidRDefault="00953989" w:rsidP="00A44022"/>
    <w:p w:rsidR="00721B5A" w:rsidRPr="00116442" w:rsidRDefault="00116442" w:rsidP="00A44022">
      <w:pPr>
        <w:pStyle w:val="Heading2"/>
      </w:pPr>
      <w:bookmarkStart w:id="41" w:name="_Toc443381809"/>
      <w:r>
        <w:t xml:space="preserve">Establishing and </w:t>
      </w:r>
      <w:r w:rsidR="00721D6A">
        <w:t>defining evacuation zone boundaries</w:t>
      </w:r>
      <w:bookmarkEnd w:id="41"/>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1"/>
        <w:gridCol w:w="7702"/>
      </w:tblGrid>
      <w:tr w:rsidR="00F94DAB" w:rsidTr="00994F31">
        <w:tc>
          <w:tcPr>
            <w:tcW w:w="1931" w:type="dxa"/>
            <w:tcMar>
              <w:right w:w="227" w:type="dxa"/>
            </w:tcMar>
          </w:tcPr>
          <w:p w:rsidR="00F94DAB" w:rsidRDefault="00F94DAB" w:rsidP="00A44022">
            <w:pPr>
              <w:pStyle w:val="LHcolumn"/>
            </w:pPr>
          </w:p>
        </w:tc>
        <w:tc>
          <w:tcPr>
            <w:tcW w:w="7702" w:type="dxa"/>
          </w:tcPr>
          <w:p w:rsidR="00F94DAB" w:rsidRDefault="00116442" w:rsidP="00A44022">
            <w:pPr>
              <w:pStyle w:val="Spacer"/>
              <w:spacing w:before="120" w:after="120" w:line="276" w:lineRule="auto"/>
              <w:rPr>
                <w:sz w:val="22"/>
              </w:rPr>
            </w:pPr>
            <w:r w:rsidRPr="00116442">
              <w:rPr>
                <w:sz w:val="22"/>
              </w:rPr>
              <w:t xml:space="preserve">While the risk criteria for each zone are described above in general terms, this guideline does not prescribe the methodology by which the tsunami risk is assessed at a regional or local level. The elevations used to establish tsunami evacuation zone boundaries are developed at </w:t>
            </w:r>
            <w:r w:rsidR="00120FEB">
              <w:rPr>
                <w:sz w:val="22"/>
              </w:rPr>
              <w:t xml:space="preserve">a </w:t>
            </w:r>
            <w:r w:rsidRPr="00116442">
              <w:rPr>
                <w:sz w:val="22"/>
              </w:rPr>
              <w:t>local level, based on location-specific hazard analysis and risk assessment.</w:t>
            </w:r>
          </w:p>
          <w:p w:rsidR="00953989" w:rsidRPr="00953989" w:rsidRDefault="00953989" w:rsidP="00A44022">
            <w:pPr>
              <w:pStyle w:val="Spacer"/>
            </w:pPr>
          </w:p>
        </w:tc>
      </w:tr>
      <w:tr w:rsidR="00F94DAB" w:rsidTr="00994F31">
        <w:tc>
          <w:tcPr>
            <w:tcW w:w="1931" w:type="dxa"/>
            <w:tcMar>
              <w:right w:w="227" w:type="dxa"/>
            </w:tcMar>
          </w:tcPr>
          <w:p w:rsidR="00F94DAB" w:rsidRDefault="00116442" w:rsidP="00A44022">
            <w:pPr>
              <w:pStyle w:val="LHcolumn"/>
            </w:pPr>
            <w:r>
              <w:t>This section provides:</w:t>
            </w:r>
          </w:p>
        </w:tc>
        <w:tc>
          <w:tcPr>
            <w:tcW w:w="7702" w:type="dxa"/>
          </w:tcPr>
          <w:p w:rsidR="00116442" w:rsidRDefault="00290AFA" w:rsidP="00A44022">
            <w:r>
              <w:t>D</w:t>
            </w:r>
            <w:r w:rsidR="00116442">
              <w:t>etail on the criteria for defining evacuation zones, and how existing local hazard information may be incorporated or aligned to fit the recommendations in this guideline</w:t>
            </w:r>
          </w:p>
          <w:p w:rsidR="00077E31" w:rsidRDefault="00290AFA" w:rsidP="00A44022">
            <w:r>
              <w:t>I</w:t>
            </w:r>
            <w:r w:rsidR="00116442">
              <w:t xml:space="preserve">llustration and explanation of the four levels of technical development for establishing evacuation zone boundaries. The recommended minimum standard is development </w:t>
            </w:r>
            <w:r w:rsidR="004F3ED0">
              <w:t>L</w:t>
            </w:r>
            <w:r w:rsidR="00116442">
              <w:t>evel 2.</w:t>
            </w:r>
          </w:p>
        </w:tc>
      </w:tr>
    </w:tbl>
    <w:p w:rsidR="00953989" w:rsidRDefault="00953989" w:rsidP="00A44022"/>
    <w:p w:rsidR="00721B5A" w:rsidRPr="00A1192A" w:rsidRDefault="00116442" w:rsidP="00A44022">
      <w:pPr>
        <w:pStyle w:val="Heading3"/>
        <w:spacing w:after="120"/>
      </w:pPr>
      <w:bookmarkStart w:id="42" w:name="_Toc443381810"/>
      <w:r w:rsidRPr="00A1192A">
        <w:t xml:space="preserve">Developmental </w:t>
      </w:r>
      <w:r w:rsidR="00721D6A" w:rsidRPr="00A1192A">
        <w:t xml:space="preserve">levels </w:t>
      </w:r>
      <w:r w:rsidRPr="00A1192A">
        <w:t xml:space="preserve">for </w:t>
      </w:r>
      <w:r w:rsidR="00721D6A" w:rsidRPr="00A1192A">
        <w:t>modelling</w:t>
      </w:r>
      <w:bookmarkEnd w:id="4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7648"/>
      </w:tblGrid>
      <w:tr w:rsidR="00F94DAB" w:rsidTr="00377A0A">
        <w:tc>
          <w:tcPr>
            <w:tcW w:w="1985" w:type="dxa"/>
            <w:tcMar>
              <w:right w:w="227" w:type="dxa"/>
            </w:tcMar>
          </w:tcPr>
          <w:p w:rsidR="00F94DAB" w:rsidRDefault="00F94DAB" w:rsidP="00A44022">
            <w:pPr>
              <w:pStyle w:val="LHcolumn"/>
            </w:pPr>
          </w:p>
        </w:tc>
        <w:tc>
          <w:tcPr>
            <w:tcW w:w="7648" w:type="dxa"/>
          </w:tcPr>
          <w:p w:rsidR="00116442" w:rsidRPr="00116442" w:rsidRDefault="00116442" w:rsidP="00A44022">
            <w:r w:rsidRPr="00116442">
              <w:t xml:space="preserve">Evacuation zone boundaries can be determined using a variety of techniques. Zones ideally need to represent an envelope around all possible </w:t>
            </w:r>
            <w:r w:rsidR="00DE7A2D">
              <w:t xml:space="preserve">areas subject to </w:t>
            </w:r>
            <w:r w:rsidRPr="00116442">
              <w:t>inundation from all known tsunami sources, taking into account all of the ways each of those sources may generate a tsunami</w:t>
            </w:r>
            <w:r w:rsidR="00240ECD">
              <w:t xml:space="preserve"> wave</w:t>
            </w:r>
            <w:r w:rsidRPr="00116442">
              <w:t>. The high degree of uncertainty in tsunami source models, and the very time consuming and resource intensive nature of modelling make this comprehensive approach to tsunami risk assessment unlikely in the short term.</w:t>
            </w:r>
          </w:p>
          <w:p w:rsidR="00116442" w:rsidRPr="00116442" w:rsidRDefault="00116442" w:rsidP="00A44022">
            <w:r w:rsidRPr="00116442">
              <w:t>The recommended approach to developing tsunami evacuation zones is to map now, and progressively refine the accuracy of boundaries as the science improves over time.</w:t>
            </w:r>
          </w:p>
          <w:p w:rsidR="00F94DAB" w:rsidRPr="00116442" w:rsidRDefault="00116442" w:rsidP="00A44022">
            <w:pPr>
              <w:pStyle w:val="Spacer"/>
              <w:spacing w:before="120" w:after="120" w:line="276" w:lineRule="auto"/>
              <w:rPr>
                <w:sz w:val="22"/>
              </w:rPr>
            </w:pPr>
            <w:r w:rsidRPr="00116442">
              <w:rPr>
                <w:sz w:val="22"/>
              </w:rPr>
              <w:t xml:space="preserve">Four developmental levels (1-4) are recognised for establishing tsunami evacuation zone boundaries. These apply to the </w:t>
            </w:r>
            <w:r w:rsidR="00DE7A2D">
              <w:rPr>
                <w:sz w:val="22"/>
              </w:rPr>
              <w:t>O</w:t>
            </w:r>
            <w:r w:rsidRPr="00116442">
              <w:rPr>
                <w:sz w:val="22"/>
              </w:rPr>
              <w:t xml:space="preserve">range and Yellow </w:t>
            </w:r>
            <w:r w:rsidR="00DE7A2D">
              <w:rPr>
                <w:sz w:val="22"/>
              </w:rPr>
              <w:t>Z</w:t>
            </w:r>
            <w:r w:rsidRPr="00116442">
              <w:rPr>
                <w:sz w:val="22"/>
              </w:rPr>
              <w:t xml:space="preserve">ones and can be used for the Red </w:t>
            </w:r>
            <w:r w:rsidR="00DE7A2D">
              <w:rPr>
                <w:sz w:val="22"/>
              </w:rPr>
              <w:t>Z</w:t>
            </w:r>
            <w:r w:rsidRPr="00116442">
              <w:rPr>
                <w:sz w:val="22"/>
              </w:rPr>
              <w:t xml:space="preserve">one if sufficient elevation data is available (see ‘Defining the Red </w:t>
            </w:r>
            <w:r w:rsidR="00DE7A2D">
              <w:rPr>
                <w:sz w:val="22"/>
              </w:rPr>
              <w:t>Z</w:t>
            </w:r>
            <w:r w:rsidRPr="00116442">
              <w:rPr>
                <w:sz w:val="22"/>
              </w:rPr>
              <w:t>one below’).</w:t>
            </w:r>
          </w:p>
        </w:tc>
      </w:tr>
      <w:tr w:rsidR="00F94DAB" w:rsidTr="00377A0A">
        <w:tc>
          <w:tcPr>
            <w:tcW w:w="1985" w:type="dxa"/>
            <w:tcMar>
              <w:right w:w="227" w:type="dxa"/>
            </w:tcMar>
          </w:tcPr>
          <w:p w:rsidR="00F94DAB" w:rsidRDefault="00116442" w:rsidP="00A44022">
            <w:pPr>
              <w:pStyle w:val="LHcolumn"/>
            </w:pPr>
            <w:r>
              <w:lastRenderedPageBreak/>
              <w:t>Level 1</w:t>
            </w:r>
          </w:p>
        </w:tc>
        <w:tc>
          <w:tcPr>
            <w:tcW w:w="7648" w:type="dxa"/>
          </w:tcPr>
          <w:p w:rsidR="00116442" w:rsidRDefault="00DE7A2D" w:rsidP="00A44022">
            <w:r>
              <w:t>Level 1 i</w:t>
            </w:r>
            <w:r w:rsidR="00116442" w:rsidRPr="00116442">
              <w:t xml:space="preserve">s based on a simple ‘bathtub’ model </w:t>
            </w:r>
            <w:r>
              <w:t xml:space="preserve">where </w:t>
            </w:r>
            <w:r w:rsidR="00116442" w:rsidRPr="00116442">
              <w:t>inu</w:t>
            </w:r>
            <w:r w:rsidR="00474E6C">
              <w:t xml:space="preserve">ndation is determined based on </w:t>
            </w:r>
            <w:r w:rsidR="00116442" w:rsidRPr="00116442">
              <w:t>maximum wave amplitude</w:t>
            </w:r>
            <w:r w:rsidR="00474E6C">
              <w:t>s</w:t>
            </w:r>
            <w:r w:rsidR="00116442" w:rsidRPr="00116442">
              <w:t xml:space="preserve"> (</w:t>
            </w:r>
            <w:r w:rsidR="005542E7">
              <w:fldChar w:fldCharType="begin"/>
            </w:r>
            <w:r w:rsidR="005542E7">
              <w:instrText xml:space="preserve"> REF _Ref442785407 \h </w:instrText>
            </w:r>
            <w:r w:rsidR="005542E7">
              <w:fldChar w:fldCharType="separate"/>
            </w:r>
            <w:r w:rsidR="009B2134" w:rsidRPr="00A44022">
              <w:t xml:space="preserve">Figure </w:t>
            </w:r>
            <w:r w:rsidR="009B2134">
              <w:rPr>
                <w:noProof/>
              </w:rPr>
              <w:t>5</w:t>
            </w:r>
            <w:r w:rsidR="005542E7">
              <w:fldChar w:fldCharType="end"/>
            </w:r>
            <w:r w:rsidR="00116442" w:rsidRPr="00116442">
              <w:t>), projected inland from the coast to some cut-off elevation. This approach provides the crudest and simplest meth</w:t>
            </w:r>
            <w:r w:rsidR="00116442">
              <w:t>od of mapping evacuation zones.</w:t>
            </w:r>
          </w:p>
          <w:p w:rsidR="00F94DAB" w:rsidRDefault="00116442" w:rsidP="00A44022">
            <w:pPr>
              <w:rPr>
                <w:b/>
              </w:rPr>
            </w:pPr>
            <w:r w:rsidRPr="00116442">
              <w:rPr>
                <w:b/>
              </w:rPr>
              <w:t>This method is not recommended for use in New Zealand because it does not allow for any drop off in tsunami inundation inland.</w:t>
            </w:r>
          </w:p>
          <w:p w:rsidR="00F75989" w:rsidRDefault="00F16B7D" w:rsidP="00A44022">
            <w:pPr>
              <w:keepNext/>
            </w:pPr>
            <w:r>
              <w:rPr>
                <w:b/>
                <w:noProof/>
              </w:rPr>
              <w:drawing>
                <wp:inline distT="0" distB="0" distL="0" distR="0" wp14:anchorId="27EED940" wp14:editId="11112858">
                  <wp:extent cx="4779034" cy="1936548"/>
                  <wp:effectExtent l="0" t="0" r="2540" b="6985"/>
                  <wp:docPr id="3" name="Picture 3" descr="This image shows a cross section showing how evacuation zone boundaries can be mapped using a projection of wave amplitudes  inland, based on a simple ‘bathtub’ model."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05 final.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78646" cy="1936391"/>
                          </a:xfrm>
                          <a:prstGeom prst="rect">
                            <a:avLst/>
                          </a:prstGeom>
                        </pic:spPr>
                      </pic:pic>
                    </a:graphicData>
                  </a:graphic>
                </wp:inline>
              </w:drawing>
            </w:r>
          </w:p>
          <w:p w:rsidR="00F16B7D" w:rsidRPr="00A44022" w:rsidRDefault="00F75989" w:rsidP="00A44022">
            <w:pPr>
              <w:pStyle w:val="Caption"/>
            </w:pPr>
            <w:bookmarkStart w:id="43" w:name="_Ref442785407"/>
            <w:r w:rsidRPr="00A44022">
              <w:t xml:space="preserve">Figure </w:t>
            </w:r>
            <w:fldSimple w:instr=" SEQ Figure \* ARABIC ">
              <w:r w:rsidR="009B2134">
                <w:rPr>
                  <w:noProof/>
                </w:rPr>
                <w:t>5</w:t>
              </w:r>
            </w:fldSimple>
            <w:bookmarkEnd w:id="43"/>
            <w:r w:rsidRPr="00A44022">
              <w:t xml:space="preserve"> Cross section showing how evacuation zone boundaries can be mapped using a projection of wave amplitudes  inland, based on a simple ‘bathtub’ model</w:t>
            </w:r>
          </w:p>
          <w:p w:rsidR="00953989" w:rsidRPr="00953989" w:rsidRDefault="00953989" w:rsidP="00A44022">
            <w:pPr>
              <w:pStyle w:val="Spacer"/>
            </w:pPr>
          </w:p>
        </w:tc>
      </w:tr>
      <w:tr w:rsidR="00116442" w:rsidTr="00377A0A">
        <w:tc>
          <w:tcPr>
            <w:tcW w:w="1985" w:type="dxa"/>
            <w:tcMar>
              <w:right w:w="227" w:type="dxa"/>
            </w:tcMar>
          </w:tcPr>
          <w:p w:rsidR="00116442" w:rsidRDefault="00116442" w:rsidP="00A44022">
            <w:pPr>
              <w:pStyle w:val="LHcolumn"/>
            </w:pPr>
            <w:r>
              <w:t>Level 2</w:t>
            </w:r>
          </w:p>
        </w:tc>
        <w:tc>
          <w:tcPr>
            <w:tcW w:w="7648" w:type="dxa"/>
          </w:tcPr>
          <w:p w:rsidR="00116442" w:rsidRDefault="00EA23CB" w:rsidP="00A44022">
            <w:r>
              <w:t>Level 2 u</w:t>
            </w:r>
            <w:r w:rsidR="00116442">
              <w:t>ses a measure of rule-based attenuation of the potential run-up height that depends on the dist</w:t>
            </w:r>
            <w:r w:rsidR="00474E6C">
              <w:t>ance inland from the coast (</w:t>
            </w:r>
            <w:r w:rsidR="005542E7">
              <w:fldChar w:fldCharType="begin"/>
            </w:r>
            <w:r w:rsidR="005542E7">
              <w:instrText xml:space="preserve"> REF _Ref442785417 \h </w:instrText>
            </w:r>
            <w:r w:rsidR="005542E7">
              <w:fldChar w:fldCharType="separate"/>
            </w:r>
            <w:r w:rsidR="009B2134" w:rsidRPr="00A44022">
              <w:t xml:space="preserve">Figure </w:t>
            </w:r>
            <w:r w:rsidR="009B2134">
              <w:rPr>
                <w:noProof/>
              </w:rPr>
              <w:t>6</w:t>
            </w:r>
            <w:r w:rsidR="005542E7">
              <w:fldChar w:fldCharType="end"/>
            </w:r>
            <w:r w:rsidR="005542E7">
              <w:t xml:space="preserve"> on the next page</w:t>
            </w:r>
            <w:r w:rsidR="00116442">
              <w:t>). It is an empirical approach. GNS Science has developed a GIS-based approach to applying this method, using a Python/ArcGIS tool that computes the indicative evacuation zone based on maximum potential tsunami run-up.</w:t>
            </w:r>
          </w:p>
          <w:p w:rsidR="00116442" w:rsidRDefault="00116442" w:rsidP="00A44022">
            <w:r>
              <w:t>This approach derives a more realistic output than a simple ‘bathtub’ model, but still provides a rough estimation which does not account for physical variations in wave behaviour. In the form applied in New Zealand it is however generally conservative (i.e. erring towards overestimation of inundation extent). This conservatism helps the zones to cover a broad range of potential scenarios. Local knowledge must also be applied to support the process.</w:t>
            </w:r>
          </w:p>
          <w:p w:rsidR="00F61486" w:rsidRDefault="00116442" w:rsidP="00A44022">
            <w:r>
              <w:t xml:space="preserve">Level 2 is the recommended approach if LiDAR-grade (i.e. better than 1m vertical accuracy) elevation data, and a similar grade of bathymetry data (e.g. from a port-specific navigational chart), are not available; in part because of the conservative nature of the approach, and in part because hydrodynamic models (used in Levels 3 and 4) are more error sensitive when run over low accuracy data. </w:t>
            </w:r>
          </w:p>
          <w:p w:rsidR="00116442" w:rsidRPr="00116442" w:rsidRDefault="00116442" w:rsidP="00A44022">
            <w:pPr>
              <w:rPr>
                <w:highlight w:val="yellow"/>
              </w:rPr>
            </w:pPr>
            <w:r>
              <w:t>Level 2 is generally regarded as an ‘interim’ approach because of its conservatism, particularly when used in areas of high population density. See Leonard et al (2009) and Fraser &amp; Power</w:t>
            </w:r>
            <w:r w:rsidR="005A1A5D">
              <w:t xml:space="preserve"> (</w:t>
            </w:r>
            <w:r>
              <w:t xml:space="preserve">2013) for specifics of the Level 2 approach as applied in New Zealand. Fraser and Power also includes a validation exercise based on data from the </w:t>
            </w:r>
            <w:r w:rsidR="00F61486">
              <w:t xml:space="preserve">2011 </w:t>
            </w:r>
            <w:r>
              <w:t>Great East Japan tsunami.</w:t>
            </w:r>
          </w:p>
        </w:tc>
      </w:tr>
      <w:tr w:rsidR="00116442" w:rsidTr="00377A0A">
        <w:tc>
          <w:tcPr>
            <w:tcW w:w="1985" w:type="dxa"/>
            <w:tcMar>
              <w:right w:w="227" w:type="dxa"/>
            </w:tcMar>
          </w:tcPr>
          <w:p w:rsidR="00116442" w:rsidRDefault="00116442" w:rsidP="00A44022">
            <w:pPr>
              <w:pStyle w:val="LHcolumn"/>
            </w:pPr>
          </w:p>
        </w:tc>
        <w:tc>
          <w:tcPr>
            <w:tcW w:w="7648" w:type="dxa"/>
          </w:tcPr>
          <w:p w:rsidR="00F75989" w:rsidRDefault="00F16B7D" w:rsidP="00A44022">
            <w:pPr>
              <w:keepNext/>
            </w:pPr>
            <w:r>
              <w:rPr>
                <w:noProof/>
              </w:rPr>
              <w:drawing>
                <wp:inline distT="0" distB="0" distL="0" distR="0" wp14:anchorId="0647D7D6" wp14:editId="0D2FDEB9">
                  <wp:extent cx="4762729" cy="2216988"/>
                  <wp:effectExtent l="0" t="0" r="0" b="0"/>
                  <wp:docPr id="4" name="Picture 4" descr="THis image shows a cross-section at the coast showing how evacuation zone boundaries are determined."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06 final.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61934" cy="2216618"/>
                          </a:xfrm>
                          <a:prstGeom prst="rect">
                            <a:avLst/>
                          </a:prstGeom>
                        </pic:spPr>
                      </pic:pic>
                    </a:graphicData>
                  </a:graphic>
                </wp:inline>
              </w:drawing>
            </w:r>
          </w:p>
          <w:p w:rsidR="00F16B7D" w:rsidRPr="00A44022" w:rsidRDefault="00F75989" w:rsidP="00A44022">
            <w:pPr>
              <w:pStyle w:val="Caption"/>
              <w:rPr>
                <w:highlight w:val="yellow"/>
              </w:rPr>
            </w:pPr>
            <w:bookmarkStart w:id="44" w:name="_Ref442785417"/>
            <w:r w:rsidRPr="00A44022">
              <w:t xml:space="preserve">Figure </w:t>
            </w:r>
            <w:fldSimple w:instr=" SEQ Figure \* ARABIC ">
              <w:r w:rsidR="009B2134">
                <w:rPr>
                  <w:noProof/>
                </w:rPr>
                <w:t>6</w:t>
              </w:r>
            </w:fldSimple>
            <w:bookmarkEnd w:id="44"/>
            <w:r w:rsidRPr="00A44022">
              <w:t xml:space="preserve"> Cross-section at the coast showing how evacuation zone boundaries are determined</w:t>
            </w:r>
          </w:p>
        </w:tc>
      </w:tr>
      <w:tr w:rsidR="002257CB" w:rsidTr="00377A0A">
        <w:tc>
          <w:tcPr>
            <w:tcW w:w="1985" w:type="dxa"/>
            <w:tcMar>
              <w:right w:w="227" w:type="dxa"/>
            </w:tcMar>
          </w:tcPr>
          <w:p w:rsidR="002257CB" w:rsidRDefault="002257CB" w:rsidP="00A44022">
            <w:pPr>
              <w:pStyle w:val="LHcolumn"/>
            </w:pPr>
          </w:p>
        </w:tc>
        <w:tc>
          <w:tcPr>
            <w:tcW w:w="7648" w:type="dxa"/>
          </w:tcPr>
          <w:p w:rsidR="00077E31" w:rsidRDefault="00F75989" w:rsidP="00A44022">
            <w:r w:rsidRPr="00F75989">
              <w:t>E</w:t>
            </w:r>
            <w:r w:rsidR="002257CB" w:rsidRPr="00F75989">
              <w:t>v</w:t>
            </w:r>
            <w:r w:rsidR="002257CB" w:rsidRPr="00F16B7D">
              <w:t>acuation zone boundaries are determined using an attenuation rule</w:t>
            </w:r>
            <w:r w:rsidR="002257CB">
              <w:t xml:space="preserve"> (d</w:t>
            </w:r>
            <w:r w:rsidR="002257CB" w:rsidRPr="00F16B7D">
              <w:t>evelopment Level 2), in which elevation decreases from a maximum potential run-up height at the coast, taken to be twice the shoreline wave amplitude</w:t>
            </w:r>
            <w:r w:rsidR="002257CB" w:rsidRPr="008B6F7D">
              <w:rPr>
                <w:vertAlign w:val="superscript"/>
              </w:rPr>
              <w:t>4</w:t>
            </w:r>
            <w:r w:rsidR="002257CB" w:rsidRPr="00F16B7D">
              <w:t xml:space="preserve"> above high tide,  and is attenuated inland according to a specified slope angle</w:t>
            </w:r>
          </w:p>
          <w:p w:rsidR="00953989" w:rsidRPr="00077E31" w:rsidRDefault="00953989" w:rsidP="00A44022">
            <w:pPr>
              <w:pStyle w:val="Spacer"/>
            </w:pPr>
          </w:p>
        </w:tc>
      </w:tr>
      <w:tr w:rsidR="00116442" w:rsidTr="00377A0A">
        <w:tc>
          <w:tcPr>
            <w:tcW w:w="1985" w:type="dxa"/>
            <w:tcMar>
              <w:right w:w="227" w:type="dxa"/>
            </w:tcMar>
          </w:tcPr>
          <w:p w:rsidR="00116442" w:rsidRDefault="00116442" w:rsidP="00A44022">
            <w:pPr>
              <w:pStyle w:val="LHcolumn"/>
            </w:pPr>
            <w:r>
              <w:t>Level 3</w:t>
            </w:r>
          </w:p>
        </w:tc>
        <w:tc>
          <w:tcPr>
            <w:tcW w:w="7648" w:type="dxa"/>
          </w:tcPr>
          <w:p w:rsidR="00116442" w:rsidRPr="00116442" w:rsidRDefault="00EA23CB" w:rsidP="00A44022">
            <w:r>
              <w:t>Level 3 u</w:t>
            </w:r>
            <w:r w:rsidR="00116442" w:rsidRPr="00116442">
              <w:t xml:space="preserve">ses a physics-based computer simulation of the process by which water inundates across land, which theoretically allows for complexities that a simpler ‘rule’ cannot, such as changes in the direction of water flow under the influence of the shape of the land and variations in surface roughness from different land uses. Such modelling is expensive, and the quality of outputs is dependent on the science behind the model and the quality of </w:t>
            </w:r>
            <w:r w:rsidR="00F61486">
              <w:t xml:space="preserve">the elevation or bathymetry </w:t>
            </w:r>
            <w:r w:rsidR="00116442" w:rsidRPr="00116442">
              <w:t>data used. The wave hitting the coast may be either:</w:t>
            </w:r>
          </w:p>
          <w:p w:rsidR="00116442" w:rsidRPr="00116442" w:rsidRDefault="00116442" w:rsidP="00A44022">
            <w:pPr>
              <w:pStyle w:val="Numbering"/>
            </w:pPr>
            <w:r w:rsidRPr="00116442">
              <w:t>Based on an incoming wave of particular amplitude (this is the less-preferred Level 3 approach)</w:t>
            </w:r>
            <w:r w:rsidR="00EA23CB">
              <w:t>, or</w:t>
            </w:r>
          </w:p>
          <w:p w:rsidR="00116442" w:rsidRDefault="00116442" w:rsidP="00A44022">
            <w:pPr>
              <w:pStyle w:val="Numbering"/>
            </w:pPr>
            <w:r w:rsidRPr="00116442">
              <w:t>Based on multiple scenarios ‘de-aggregated’ from an appropriate probabilistic model and modelled from source (this is the preferred Level 3 approach).</w:t>
            </w:r>
          </w:p>
          <w:p w:rsidR="00953989" w:rsidRPr="00116442" w:rsidRDefault="00953989" w:rsidP="00A44022">
            <w:pPr>
              <w:pStyle w:val="Spacer"/>
            </w:pPr>
          </w:p>
        </w:tc>
      </w:tr>
      <w:tr w:rsidR="00580BB0" w:rsidTr="00377A0A">
        <w:tc>
          <w:tcPr>
            <w:tcW w:w="1985" w:type="dxa"/>
            <w:tcMar>
              <w:right w:w="227" w:type="dxa"/>
            </w:tcMar>
          </w:tcPr>
          <w:p w:rsidR="00580BB0" w:rsidRDefault="00580BB0" w:rsidP="00A44022">
            <w:pPr>
              <w:pStyle w:val="LHcolumn"/>
            </w:pPr>
            <w:r>
              <w:t>Level 4</w:t>
            </w:r>
          </w:p>
        </w:tc>
        <w:tc>
          <w:tcPr>
            <w:tcW w:w="7648" w:type="dxa"/>
          </w:tcPr>
          <w:p w:rsidR="00580BB0" w:rsidRPr="00116442" w:rsidRDefault="00EA23CB" w:rsidP="00A44022">
            <w:r>
              <w:t>Level 4</w:t>
            </w:r>
            <w:r w:rsidRPr="00580BB0">
              <w:t xml:space="preserve"> </w:t>
            </w:r>
            <w:r w:rsidR="00580BB0" w:rsidRPr="00580BB0">
              <w:t>is the most comprehensive approach, based on drawing an envelope around all inundations from many well-tested hydrodynamic computer models run from source through to inundation. The number of models must be enough to cover the full range of scenarios that can be expected from all sources. Development to this level of sophistication requires a comprehensive scientific understanding of all possible tsunami sources (distant, regional and local), wave propagation and inundation behaviours, across a range of magnitudes.</w:t>
            </w:r>
          </w:p>
        </w:tc>
      </w:tr>
    </w:tbl>
    <w:p w:rsidR="00953989" w:rsidRDefault="00953989" w:rsidP="00A44022"/>
    <w:p w:rsidR="00953989" w:rsidRDefault="00953989" w:rsidP="00A44022">
      <w:pPr>
        <w:spacing w:before="0" w:after="0" w:line="240" w:lineRule="auto"/>
      </w:pPr>
      <w:r>
        <w:br w:type="page"/>
      </w:r>
    </w:p>
    <w:p w:rsidR="00D45DA7" w:rsidRDefault="00580BB0" w:rsidP="00A44022">
      <w:pPr>
        <w:pStyle w:val="Heading3"/>
        <w:spacing w:after="120"/>
      </w:pPr>
      <w:bookmarkStart w:id="45" w:name="_Toc443381811"/>
      <w:r>
        <w:lastRenderedPageBreak/>
        <w:t xml:space="preserve">Source </w:t>
      </w:r>
      <w:r w:rsidR="00721D6A">
        <w:t xml:space="preserve">data </w:t>
      </w:r>
      <w:r>
        <w:t xml:space="preserve">and </w:t>
      </w:r>
      <w:r w:rsidR="00721D6A">
        <w:t>defining zone boundaries</w:t>
      </w:r>
      <w:bookmarkEnd w:id="45"/>
    </w:p>
    <w:tbl>
      <w:tblPr>
        <w:tblStyle w:val="TableGrid"/>
        <w:tblW w:w="972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0"/>
        <w:gridCol w:w="7776"/>
      </w:tblGrid>
      <w:tr w:rsidR="00580BB0" w:rsidTr="00D17F3F">
        <w:trPr>
          <w:trHeight w:val="156"/>
        </w:trPr>
        <w:tc>
          <w:tcPr>
            <w:tcW w:w="1950" w:type="dxa"/>
            <w:tcMar>
              <w:right w:w="227" w:type="dxa"/>
            </w:tcMar>
          </w:tcPr>
          <w:p w:rsidR="00580BB0" w:rsidRDefault="00580BB0" w:rsidP="00A44022">
            <w:pPr>
              <w:pStyle w:val="LHcolumn"/>
            </w:pPr>
            <w:r w:rsidRPr="00580BB0">
              <w:rPr>
                <w:color w:val="BFB500" w:themeColor="text2" w:themeShade="BF"/>
              </w:rPr>
              <w:t>Yellow Zone</w:t>
            </w:r>
          </w:p>
        </w:tc>
        <w:tc>
          <w:tcPr>
            <w:tcW w:w="7776" w:type="dxa"/>
          </w:tcPr>
          <w:p w:rsidR="00580BB0" w:rsidRPr="00580BB0" w:rsidRDefault="00D17F3F" w:rsidP="00A44022">
            <w:pPr>
              <w:pStyle w:val="Spacer"/>
              <w:spacing w:before="120" w:after="120" w:line="276" w:lineRule="auto"/>
              <w:rPr>
                <w:sz w:val="22"/>
              </w:rPr>
            </w:pPr>
            <w:r>
              <w:rPr>
                <w:sz w:val="22"/>
              </w:rPr>
              <w:t>S</w:t>
            </w:r>
            <w:r w:rsidR="00580BB0" w:rsidRPr="00580BB0">
              <w:rPr>
                <w:sz w:val="22"/>
              </w:rPr>
              <w:t xml:space="preserve">hould be defined in such a way that it encompasses the area expected to be inundated by the 2500 year tsunami at the 84% confidence level. This timeframe includes large subduction interface earthquakes, including events comparable to the earthquake that caused the </w:t>
            </w:r>
            <w:r w:rsidR="00934E11">
              <w:rPr>
                <w:sz w:val="22"/>
              </w:rPr>
              <w:t xml:space="preserve">2011 </w:t>
            </w:r>
            <w:r w:rsidR="00580BB0" w:rsidRPr="00580BB0">
              <w:rPr>
                <w:sz w:val="22"/>
              </w:rPr>
              <w:t xml:space="preserve">Great East Japan tsunami, in those areas where they are </w:t>
            </w:r>
            <w:r w:rsidR="00884583">
              <w:rPr>
                <w:sz w:val="22"/>
              </w:rPr>
              <w:t>considered</w:t>
            </w:r>
            <w:r w:rsidR="00580BB0" w:rsidRPr="00580BB0">
              <w:rPr>
                <w:sz w:val="22"/>
              </w:rPr>
              <w:t xml:space="preserve"> possible. It is not an absolute ‘worst case’, as this is not well defined</w:t>
            </w:r>
            <w:r w:rsidR="00884583">
              <w:rPr>
                <w:sz w:val="22"/>
              </w:rPr>
              <w:t>.</w:t>
            </w:r>
            <w:r w:rsidR="003A51BC">
              <w:rPr>
                <w:sz w:val="22"/>
              </w:rPr>
              <w:t xml:space="preserve"> I</w:t>
            </w:r>
            <w:r w:rsidR="00884583">
              <w:rPr>
                <w:sz w:val="22"/>
              </w:rPr>
              <w:t>t</w:t>
            </w:r>
            <w:r w:rsidR="003A51BC">
              <w:rPr>
                <w:sz w:val="22"/>
              </w:rPr>
              <w:t xml:space="preserve"> is</w:t>
            </w:r>
            <w:r w:rsidR="00580BB0" w:rsidRPr="00580BB0">
              <w:rPr>
                <w:sz w:val="22"/>
              </w:rPr>
              <w:t xml:space="preserve"> a compromise between the very low probability of even larger events and the </w:t>
            </w:r>
            <w:r w:rsidR="00700EB8">
              <w:rPr>
                <w:sz w:val="22"/>
              </w:rPr>
              <w:t xml:space="preserve">issues </w:t>
            </w:r>
            <w:r w:rsidR="002E49F8">
              <w:rPr>
                <w:sz w:val="22"/>
              </w:rPr>
              <w:t xml:space="preserve">and risks involved </w:t>
            </w:r>
            <w:r w:rsidR="00580BB0" w:rsidRPr="00580BB0">
              <w:rPr>
                <w:sz w:val="22"/>
              </w:rPr>
              <w:t>in</w:t>
            </w:r>
            <w:r w:rsidR="002E49F8">
              <w:rPr>
                <w:sz w:val="22"/>
              </w:rPr>
              <w:t xml:space="preserve"> a</w:t>
            </w:r>
            <w:r w:rsidR="00580BB0" w:rsidRPr="00580BB0">
              <w:rPr>
                <w:sz w:val="22"/>
              </w:rPr>
              <w:t xml:space="preserve"> mass-evacuation in the aftermath of strong earthquake shaking.</w:t>
            </w:r>
          </w:p>
          <w:p w:rsidR="00580BB0" w:rsidRPr="00580BB0" w:rsidRDefault="00580BB0" w:rsidP="00A44022">
            <w:pPr>
              <w:pStyle w:val="Spacer"/>
              <w:spacing w:before="120" w:after="120" w:line="276" w:lineRule="auto"/>
              <w:rPr>
                <w:sz w:val="22"/>
              </w:rPr>
            </w:pPr>
            <w:r w:rsidRPr="00580BB0">
              <w:rPr>
                <w:sz w:val="22"/>
              </w:rPr>
              <w:t>The 84% confidence level can be expressed in words as ‘erring on the side of caution</w:t>
            </w:r>
            <w:r w:rsidR="00934E11">
              <w:rPr>
                <w:sz w:val="22"/>
              </w:rPr>
              <w:t>’</w:t>
            </w:r>
            <w:r w:rsidRPr="00580BB0">
              <w:rPr>
                <w:sz w:val="22"/>
              </w:rPr>
              <w:t xml:space="preserve"> with respect to unknown or uncertain factors. It is similar to using the upper bound of an error bar. Note that this represents a recommended minimum</w:t>
            </w:r>
            <w:r w:rsidR="003B4E88">
              <w:rPr>
                <w:sz w:val="22"/>
              </w:rPr>
              <w:t>:</w:t>
            </w:r>
            <w:r w:rsidRPr="00580BB0">
              <w:rPr>
                <w:sz w:val="22"/>
              </w:rPr>
              <w:t xml:space="preserve"> it is recommended that the following are also considered and may result in </w:t>
            </w:r>
            <w:r w:rsidR="002E49F8">
              <w:rPr>
                <w:sz w:val="22"/>
              </w:rPr>
              <w:t xml:space="preserve">a decision to </w:t>
            </w:r>
            <w:r w:rsidRPr="00580BB0">
              <w:rPr>
                <w:sz w:val="22"/>
              </w:rPr>
              <w:t>exten</w:t>
            </w:r>
            <w:r w:rsidR="002E49F8">
              <w:rPr>
                <w:sz w:val="22"/>
              </w:rPr>
              <w:t>d</w:t>
            </w:r>
            <w:r w:rsidRPr="00580BB0">
              <w:rPr>
                <w:sz w:val="22"/>
              </w:rPr>
              <w:t xml:space="preserve"> the zone:</w:t>
            </w:r>
          </w:p>
          <w:p w:rsidR="00580BB0" w:rsidRPr="00580BB0" w:rsidRDefault="00580BB0" w:rsidP="00A44022">
            <w:pPr>
              <w:pStyle w:val="Spacer"/>
              <w:numPr>
                <w:ilvl w:val="0"/>
                <w:numId w:val="19"/>
              </w:numPr>
              <w:spacing w:before="120" w:after="120" w:line="276" w:lineRule="auto"/>
              <w:rPr>
                <w:sz w:val="22"/>
              </w:rPr>
            </w:pPr>
            <w:r w:rsidRPr="00580BB0">
              <w:rPr>
                <w:sz w:val="22"/>
              </w:rPr>
              <w:t>The possibility of larger local-source tsunami that occur at longer return periods than 2500 years</w:t>
            </w:r>
          </w:p>
          <w:p w:rsidR="00580BB0" w:rsidRPr="00580BB0" w:rsidRDefault="00580BB0" w:rsidP="00A44022">
            <w:pPr>
              <w:pStyle w:val="Spacer"/>
              <w:numPr>
                <w:ilvl w:val="0"/>
                <w:numId w:val="19"/>
              </w:numPr>
              <w:spacing w:before="120" w:after="120" w:line="276" w:lineRule="auto"/>
              <w:rPr>
                <w:sz w:val="22"/>
              </w:rPr>
            </w:pPr>
            <w:r w:rsidRPr="00580BB0">
              <w:rPr>
                <w:sz w:val="22"/>
              </w:rPr>
              <w:t>The extent of inundation found in nearby paleo-tsunami deposits of high validity.</w:t>
            </w:r>
          </w:p>
          <w:p w:rsidR="00580BB0" w:rsidRPr="00580BB0" w:rsidRDefault="00580BB0" w:rsidP="00A44022">
            <w:pPr>
              <w:pStyle w:val="Spacer"/>
              <w:spacing w:before="120" w:after="120" w:line="276" w:lineRule="auto"/>
              <w:rPr>
                <w:sz w:val="22"/>
              </w:rPr>
            </w:pPr>
            <w:r w:rsidRPr="00580BB0">
              <w:rPr>
                <w:sz w:val="22"/>
              </w:rPr>
              <w:t xml:space="preserve">If </w:t>
            </w:r>
            <w:r w:rsidR="002E49F8">
              <w:rPr>
                <w:sz w:val="22"/>
              </w:rPr>
              <w:t xml:space="preserve">considering </w:t>
            </w:r>
            <w:r w:rsidR="00B41D12">
              <w:rPr>
                <w:sz w:val="22"/>
              </w:rPr>
              <w:t>extending</w:t>
            </w:r>
            <w:r w:rsidR="002E49F8">
              <w:rPr>
                <w:sz w:val="22"/>
              </w:rPr>
              <w:t xml:space="preserve"> the zone</w:t>
            </w:r>
            <w:r w:rsidRPr="00580BB0">
              <w:rPr>
                <w:sz w:val="22"/>
              </w:rPr>
              <w:t xml:space="preserve"> for either of these reasons it is important to strike a balance between the </w:t>
            </w:r>
            <w:r w:rsidR="002943D3" w:rsidRPr="00580BB0">
              <w:rPr>
                <w:sz w:val="22"/>
              </w:rPr>
              <w:t>increases</w:t>
            </w:r>
            <w:r w:rsidRPr="00580BB0">
              <w:rPr>
                <w:sz w:val="22"/>
              </w:rPr>
              <w:t xml:space="preserve"> in safety that </w:t>
            </w:r>
            <w:r w:rsidR="00B41D12">
              <w:rPr>
                <w:sz w:val="22"/>
              </w:rPr>
              <w:t xml:space="preserve">may </w:t>
            </w:r>
            <w:r w:rsidRPr="00580BB0">
              <w:rPr>
                <w:sz w:val="22"/>
              </w:rPr>
              <w:t xml:space="preserve">come </w:t>
            </w:r>
            <w:r w:rsidR="00B41D12">
              <w:rPr>
                <w:sz w:val="22"/>
              </w:rPr>
              <w:t xml:space="preserve">from </w:t>
            </w:r>
            <w:r w:rsidRPr="00580BB0">
              <w:rPr>
                <w:sz w:val="22"/>
              </w:rPr>
              <w:t>cover</w:t>
            </w:r>
            <w:r w:rsidR="00B41D12">
              <w:rPr>
                <w:sz w:val="22"/>
              </w:rPr>
              <w:t>ing</w:t>
            </w:r>
            <w:r w:rsidRPr="00580BB0">
              <w:rPr>
                <w:sz w:val="22"/>
              </w:rPr>
              <w:t xml:space="preserve"> </w:t>
            </w:r>
            <w:r w:rsidR="00B41D12">
              <w:rPr>
                <w:sz w:val="22"/>
              </w:rPr>
              <w:t>very rare</w:t>
            </w:r>
            <w:r w:rsidRPr="00580BB0">
              <w:rPr>
                <w:sz w:val="22"/>
              </w:rPr>
              <w:t xml:space="preserve"> events </w:t>
            </w:r>
            <w:r w:rsidR="00B41D12">
              <w:rPr>
                <w:sz w:val="22"/>
              </w:rPr>
              <w:t>and</w:t>
            </w:r>
            <w:r w:rsidRPr="00580BB0">
              <w:rPr>
                <w:sz w:val="22"/>
              </w:rPr>
              <w:t xml:space="preserve"> the</w:t>
            </w:r>
            <w:r w:rsidR="00B41D12">
              <w:rPr>
                <w:sz w:val="22"/>
              </w:rPr>
              <w:t xml:space="preserve"> issues and</w:t>
            </w:r>
            <w:r w:rsidRPr="00580BB0">
              <w:rPr>
                <w:sz w:val="22"/>
              </w:rPr>
              <w:t xml:space="preserve"> risks inherent in conducting mass-evacuations in the aftermath of strong earthquake shaking.</w:t>
            </w:r>
          </w:p>
          <w:p w:rsidR="00580BB0" w:rsidRDefault="00580BB0" w:rsidP="00A44022">
            <w:pPr>
              <w:pStyle w:val="Spacer"/>
              <w:spacing w:before="120" w:after="120" w:line="276" w:lineRule="auto"/>
              <w:rPr>
                <w:sz w:val="22"/>
              </w:rPr>
            </w:pPr>
            <w:r w:rsidRPr="00580BB0">
              <w:rPr>
                <w:sz w:val="22"/>
              </w:rPr>
              <w:t xml:space="preserve">The Yellow </w:t>
            </w:r>
            <w:r w:rsidR="003B4E88">
              <w:rPr>
                <w:sz w:val="22"/>
              </w:rPr>
              <w:t>Z</w:t>
            </w:r>
            <w:r w:rsidRPr="00580BB0">
              <w:rPr>
                <w:sz w:val="22"/>
              </w:rPr>
              <w:t xml:space="preserve">one </w:t>
            </w:r>
            <w:r w:rsidR="00333D80" w:rsidRPr="004851FA">
              <w:rPr>
                <w:sz w:val="22"/>
              </w:rPr>
              <w:t>can be extended inland to avoid crossing through buildings or properties, and allow clarity of the boundary location on the ground. This is especially important to consider for institutions and facilities that are likely to have large numbers of</w:t>
            </w:r>
            <w:r w:rsidR="00625A6E">
              <w:rPr>
                <w:sz w:val="22"/>
              </w:rPr>
              <w:t>, or highly</w:t>
            </w:r>
            <w:r w:rsidR="00333D80" w:rsidRPr="004851FA">
              <w:rPr>
                <w:sz w:val="22"/>
              </w:rPr>
              <w:t xml:space="preserve"> vulnerable people</w:t>
            </w:r>
            <w:r w:rsidR="00934E11">
              <w:rPr>
                <w:sz w:val="22"/>
              </w:rPr>
              <w:t>,</w:t>
            </w:r>
            <w:r w:rsidR="00333D80" w:rsidRPr="004851FA">
              <w:rPr>
                <w:sz w:val="22"/>
              </w:rPr>
              <w:t xml:space="preserve"> such as schools and rest-homes. It should never be reduced in area, and its outer extent moved closer to the coast line, in order to achieve this purpose.</w:t>
            </w:r>
            <w:r w:rsidR="004851FA">
              <w:rPr>
                <w:sz w:val="22"/>
              </w:rPr>
              <w:t xml:space="preserve"> </w:t>
            </w:r>
          </w:p>
          <w:p w:rsidR="00953989" w:rsidRPr="00953989" w:rsidRDefault="00953989" w:rsidP="00A44022">
            <w:pPr>
              <w:pStyle w:val="Spacer"/>
            </w:pPr>
          </w:p>
        </w:tc>
      </w:tr>
      <w:tr w:rsidR="00580BB0" w:rsidTr="00D17F3F">
        <w:trPr>
          <w:trHeight w:val="156"/>
        </w:trPr>
        <w:tc>
          <w:tcPr>
            <w:tcW w:w="1950" w:type="dxa"/>
            <w:tcMar>
              <w:right w:w="227" w:type="dxa"/>
            </w:tcMar>
          </w:tcPr>
          <w:p w:rsidR="00580BB0" w:rsidRDefault="00580BB0" w:rsidP="00A44022">
            <w:pPr>
              <w:pStyle w:val="LHcolumn"/>
            </w:pPr>
            <w:r w:rsidRPr="00580BB0">
              <w:rPr>
                <w:color w:val="E36C0A" w:themeColor="accent6" w:themeShade="BF"/>
              </w:rPr>
              <w:t>Orange Zone</w:t>
            </w:r>
          </w:p>
        </w:tc>
        <w:tc>
          <w:tcPr>
            <w:tcW w:w="7776" w:type="dxa"/>
          </w:tcPr>
          <w:p w:rsidR="00580BB0" w:rsidRDefault="00D17F3F" w:rsidP="00A44022">
            <w:r>
              <w:t>I</w:t>
            </w:r>
            <w:r w:rsidR="00580BB0">
              <w:t>ntended to be used for official warnings of distant or regional source tsunami. It should be linked to a particular threat</w:t>
            </w:r>
            <w:r w:rsidR="000E3CC5">
              <w:t xml:space="preserve"> </w:t>
            </w:r>
            <w:r w:rsidR="00580BB0">
              <w:t>level, and encompass the range of tsunami that can result in a warning being issued at that threat-level. It is generally anticipated that the choice of threat level should at least encompass the largest tsunami with travel time &gt;1 hour that is to be expected on a 500 year time frame; though this is not a rigid requirement on the basis that the Yellow Zone will also be evacuated if a warning of a tsunami belonging to a higher threat</w:t>
            </w:r>
            <w:r w:rsidR="000E3CC5">
              <w:t xml:space="preserve"> </w:t>
            </w:r>
            <w:r w:rsidR="00580BB0">
              <w:t>level is made.</w:t>
            </w:r>
          </w:p>
          <w:p w:rsidR="00580BB0" w:rsidRDefault="00580BB0" w:rsidP="00A44022">
            <w:r>
              <w:t xml:space="preserve">It is very important that </w:t>
            </w:r>
            <w:r w:rsidR="003B4E88">
              <w:t xml:space="preserve">CDEM </w:t>
            </w:r>
            <w:r>
              <w:t>authorities know which threat</w:t>
            </w:r>
            <w:r w:rsidR="000E3CC5">
              <w:t xml:space="preserve"> </w:t>
            </w:r>
            <w:r>
              <w:t xml:space="preserve">level their area is designed for, so that they can also evacuate the Yellow </w:t>
            </w:r>
            <w:r w:rsidR="003B4E88">
              <w:t>Z</w:t>
            </w:r>
            <w:r>
              <w:t>one in the (should be very rare) event of a larger regional or distant tsunami. For this purpose it is best to minimise the number of variations in which threat</w:t>
            </w:r>
            <w:r w:rsidR="000E3CC5">
              <w:t xml:space="preserve"> </w:t>
            </w:r>
            <w:r>
              <w:t xml:space="preserve">level the Orange </w:t>
            </w:r>
            <w:r w:rsidR="003B4E88">
              <w:t>Z</w:t>
            </w:r>
            <w:r>
              <w:t>one is defined for.</w:t>
            </w:r>
          </w:p>
        </w:tc>
      </w:tr>
    </w:tbl>
    <w:p w:rsidR="00953989" w:rsidRDefault="00953989" w:rsidP="00A44022"/>
    <w:p w:rsidR="00953989" w:rsidRDefault="00953989" w:rsidP="00A44022">
      <w:pPr>
        <w:spacing w:before="0" w:after="0" w:line="240" w:lineRule="auto"/>
      </w:pPr>
      <w:r>
        <w:br w:type="page"/>
      </w:r>
    </w:p>
    <w:tbl>
      <w:tblPr>
        <w:tblStyle w:val="TableGrid"/>
        <w:tblW w:w="972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0"/>
        <w:gridCol w:w="7776"/>
      </w:tblGrid>
      <w:tr w:rsidR="00953989" w:rsidTr="00D17F3F">
        <w:trPr>
          <w:trHeight w:val="156"/>
        </w:trPr>
        <w:tc>
          <w:tcPr>
            <w:tcW w:w="1950" w:type="dxa"/>
            <w:tcMar>
              <w:right w:w="227" w:type="dxa"/>
            </w:tcMar>
          </w:tcPr>
          <w:p w:rsidR="00953989" w:rsidRPr="00580BB0" w:rsidRDefault="00953989" w:rsidP="00A44022">
            <w:pPr>
              <w:pStyle w:val="LHcolumn"/>
              <w:rPr>
                <w:color w:val="E36C0A" w:themeColor="accent6" w:themeShade="BF"/>
              </w:rPr>
            </w:pPr>
          </w:p>
        </w:tc>
        <w:tc>
          <w:tcPr>
            <w:tcW w:w="7776" w:type="dxa"/>
          </w:tcPr>
          <w:p w:rsidR="00953989" w:rsidRDefault="00953989" w:rsidP="00A44022">
            <w:r>
              <w:t>As for the Yellow Zone, the Orange Zone can be extended inland to avoid crossing through buildings or properties, and allow clarity of the boundary location on the ground. Again this is especially important to consider for sites that have large numbers of, or highly vulnerable, people associated with them. The zone should never be reduced in area, and its outer extent moved closer to the coast line, in order to achieve this purpose.</w:t>
            </w:r>
          </w:p>
          <w:p w:rsidR="00953989" w:rsidRDefault="00953989" w:rsidP="00A44022">
            <w:pPr>
              <w:pStyle w:val="Spacer"/>
            </w:pPr>
          </w:p>
        </w:tc>
      </w:tr>
      <w:tr w:rsidR="00580BB0" w:rsidTr="00D17F3F">
        <w:trPr>
          <w:trHeight w:val="2023"/>
        </w:trPr>
        <w:tc>
          <w:tcPr>
            <w:tcW w:w="1950" w:type="dxa"/>
            <w:tcMar>
              <w:right w:w="227" w:type="dxa"/>
            </w:tcMar>
          </w:tcPr>
          <w:p w:rsidR="00580BB0" w:rsidRPr="00580BB0" w:rsidRDefault="00580BB0" w:rsidP="00A44022">
            <w:pPr>
              <w:pStyle w:val="LHcolumn"/>
              <w:rPr>
                <w:color w:val="FF0000"/>
                <w14:textFill>
                  <w14:solidFill>
                    <w14:srgbClr w14:val="FF0000">
                      <w14:lumMod w14:val="75000"/>
                    </w14:srgbClr>
                  </w14:solidFill>
                </w14:textFill>
              </w:rPr>
            </w:pPr>
            <w:r w:rsidRPr="00580BB0">
              <w:rPr>
                <w:color w:val="FF0000"/>
              </w:rPr>
              <w:t>Red Zone</w:t>
            </w:r>
          </w:p>
        </w:tc>
        <w:tc>
          <w:tcPr>
            <w:tcW w:w="7776" w:type="dxa"/>
          </w:tcPr>
          <w:p w:rsidR="00580BB0" w:rsidRDefault="00D17F3F" w:rsidP="00A44022">
            <w:r>
              <w:t>I</w:t>
            </w:r>
            <w:r w:rsidR="00580BB0" w:rsidRPr="00580BB0">
              <w:t xml:space="preserve">ntended as a </w:t>
            </w:r>
            <w:r w:rsidR="00DA2D11">
              <w:t>marine and beach</w:t>
            </w:r>
            <w:r w:rsidR="00580BB0" w:rsidRPr="00580BB0">
              <w:t xml:space="preserve"> exclusion zone </w:t>
            </w:r>
            <w:r w:rsidR="00DA2D11">
              <w:t xml:space="preserve">(including harbours, rivers and estuaries) </w:t>
            </w:r>
            <w:r w:rsidR="00580BB0" w:rsidRPr="00580BB0">
              <w:t xml:space="preserve">that can be designated off limits in the </w:t>
            </w:r>
            <w:r w:rsidR="00580BB0">
              <w:t xml:space="preserve">event of any expected tsunami that is above the minimum warning threshold (currently 20cm amplitude) up to 1m amplitude, above which the Orange, and if appropriate the Yellow </w:t>
            </w:r>
            <w:r w:rsidR="003B4E88">
              <w:t>Z</w:t>
            </w:r>
            <w:r w:rsidR="00580BB0">
              <w:t>one</w:t>
            </w:r>
            <w:r>
              <w:t>s</w:t>
            </w:r>
            <w:r w:rsidR="00580BB0">
              <w:t>, will also be evacuated.</w:t>
            </w:r>
            <w:r w:rsidR="00DA2D11">
              <w:t xml:space="preserve"> People should be advised to stay out of the Red Zone and be vigilant and take care in low lying coastal areas.</w:t>
            </w:r>
          </w:p>
          <w:p w:rsidR="00580BB0" w:rsidRDefault="00D17F3F" w:rsidP="00A44022">
            <w:r>
              <w:t>Defining the</w:t>
            </w:r>
            <w:r w:rsidR="00580BB0">
              <w:t xml:space="preserve"> Red </w:t>
            </w:r>
            <w:r w:rsidR="003B4E88">
              <w:t>Z</w:t>
            </w:r>
            <w:r w:rsidR="00580BB0">
              <w:t xml:space="preserve">one depends upon the elevation data available, which is normally either high resolution such as LiDAR data, or low resolution such as the LINZ topographic data. Calculation of the Red </w:t>
            </w:r>
            <w:r w:rsidR="003B4E88">
              <w:t>Z</w:t>
            </w:r>
            <w:r w:rsidR="00580BB0">
              <w:t>one from hydrodynamic models is very difficult because of the great variety of potential sources of tsunami in the 0.2-1m range, which may behave in a variety of ways on reaching land.</w:t>
            </w:r>
          </w:p>
          <w:p w:rsidR="00580BB0" w:rsidRDefault="00580BB0" w:rsidP="00A44022">
            <w:r>
              <w:t>In high resolution areas (e.g. LiDAR)</w:t>
            </w:r>
            <w:r w:rsidR="00DA2D11">
              <w:t xml:space="preserve"> as a default</w:t>
            </w:r>
            <w:r>
              <w:t>: ideally use the 2m above high tide contour (MHWS) level, extended to make sure it covers the beach and rocky foreshore in any instances that the 2m elevation doesn't.</w:t>
            </w:r>
            <w:r w:rsidR="00DA2D11">
              <w:t xml:space="preserve"> Discuss any situations where the resulting zone appears unduly large with the </w:t>
            </w:r>
            <w:r w:rsidR="00106E9E">
              <w:t>TWG</w:t>
            </w:r>
            <w:r w:rsidR="00DA2D11">
              <w:t xml:space="preserve"> before implementation.</w:t>
            </w:r>
          </w:p>
          <w:p w:rsidR="00580BB0" w:rsidRDefault="00580BB0" w:rsidP="00A44022">
            <w:r>
              <w:t xml:space="preserve">In low resolution areas (e.g. LINZ topographic data): the beach and foreshore is generally expected to </w:t>
            </w:r>
            <w:r w:rsidR="00106E9E">
              <w:t xml:space="preserve">be </w:t>
            </w:r>
            <w:r>
              <w:t>approximate</w:t>
            </w:r>
            <w:r w:rsidR="00106E9E">
              <w:t>ly</w:t>
            </w:r>
            <w:r>
              <w:t xml:space="preserve"> 2m above </w:t>
            </w:r>
            <w:r w:rsidR="00106E9E">
              <w:t xml:space="preserve">the </w:t>
            </w:r>
            <w:r>
              <w:t>high tide</w:t>
            </w:r>
            <w:r w:rsidR="00884583">
              <w:t xml:space="preserve"> contour level</w:t>
            </w:r>
            <w:r>
              <w:t xml:space="preserve">. The beach and rocky foreshore area should simply be </w:t>
            </w:r>
            <w:r w:rsidR="00106E9E">
              <w:t>designated as the Red Zone</w:t>
            </w:r>
            <w:r>
              <w:t xml:space="preserve">, with </w:t>
            </w:r>
            <w:r w:rsidR="00C4292E">
              <w:t>assistance</w:t>
            </w:r>
            <w:r>
              <w:t xml:space="preserve"> from local experts (including </w:t>
            </w:r>
            <w:r w:rsidR="003B4E88">
              <w:t>CDEM authorities</w:t>
            </w:r>
            <w:r>
              <w:t xml:space="preserve">) </w:t>
            </w:r>
            <w:r w:rsidR="00066DA8">
              <w:t xml:space="preserve">on </w:t>
            </w:r>
            <w:r w:rsidR="00C4292E">
              <w:t xml:space="preserve">where </w:t>
            </w:r>
            <w:r>
              <w:t>the zone</w:t>
            </w:r>
            <w:r w:rsidR="00106E9E">
              <w:t xml:space="preserve"> might extend</w:t>
            </w:r>
            <w:r>
              <w:t xml:space="preserve"> </w:t>
            </w:r>
            <w:r w:rsidR="00C4292E">
              <w:t xml:space="preserve">further </w:t>
            </w:r>
            <w:r>
              <w:t xml:space="preserve">inland </w:t>
            </w:r>
            <w:r w:rsidR="00066DA8">
              <w:t>to cover wider</w:t>
            </w:r>
            <w:r w:rsidR="00C4292E">
              <w:t xml:space="preserve"> </w:t>
            </w:r>
            <w:r>
              <w:t xml:space="preserve">areas that are </w:t>
            </w:r>
            <w:r w:rsidR="00C4292E">
              <w:t>con</w:t>
            </w:r>
            <w:r w:rsidR="00066DA8">
              <w:t>s</w:t>
            </w:r>
            <w:r w:rsidR="00C4292E">
              <w:t>idered</w:t>
            </w:r>
            <w:r>
              <w:t xml:space="preserve"> to lie less than 2m above high tide level. In addition:</w:t>
            </w:r>
          </w:p>
          <w:p w:rsidR="00580BB0" w:rsidRDefault="00580BB0" w:rsidP="00A44022">
            <w:pPr>
              <w:pStyle w:val="ListParagraph"/>
              <w:numPr>
                <w:ilvl w:val="0"/>
                <w:numId w:val="20"/>
              </w:numPr>
              <w:contextualSpacing w:val="0"/>
            </w:pPr>
            <w:r>
              <w:t>The 1:50,000 scale beach</w:t>
            </w:r>
            <w:r w:rsidR="00106E9E">
              <w:t>,</w:t>
            </w:r>
            <w:r w:rsidR="003B4E88">
              <w:t xml:space="preserve"> </w:t>
            </w:r>
            <w:r>
              <w:t>rocks</w:t>
            </w:r>
            <w:r w:rsidR="00106E9E">
              <w:t>,</w:t>
            </w:r>
            <w:r w:rsidR="003B4E88">
              <w:t xml:space="preserve"> </w:t>
            </w:r>
            <w:r>
              <w:t>sand</w:t>
            </w:r>
            <w:r w:rsidR="00106E9E">
              <w:t>,</w:t>
            </w:r>
            <w:r w:rsidR="003B4E88">
              <w:t xml:space="preserve"> </w:t>
            </w:r>
            <w:r>
              <w:t>mud</w:t>
            </w:r>
            <w:r w:rsidR="00106E9E">
              <w:t>,</w:t>
            </w:r>
            <w:r w:rsidR="003B4E88">
              <w:t xml:space="preserve"> </w:t>
            </w:r>
            <w:r>
              <w:t>lagoon</w:t>
            </w:r>
            <w:r w:rsidR="00106E9E">
              <w:t>,</w:t>
            </w:r>
            <w:r w:rsidR="003B4E88">
              <w:t xml:space="preserve"> </w:t>
            </w:r>
            <w:r>
              <w:t>swamp</w:t>
            </w:r>
            <w:r w:rsidR="00106E9E">
              <w:t>,</w:t>
            </w:r>
            <w:r w:rsidR="003B4E88">
              <w:t xml:space="preserve"> </w:t>
            </w:r>
            <w:r>
              <w:t>mangroves</w:t>
            </w:r>
            <w:r w:rsidR="00106E9E">
              <w:t xml:space="preserve">, and/or </w:t>
            </w:r>
            <w:r>
              <w:t>estuary polygons can be used to define the Red Zone</w:t>
            </w:r>
          </w:p>
          <w:p w:rsidR="00106E9E" w:rsidRDefault="00580BB0" w:rsidP="00A44022">
            <w:pPr>
              <w:pStyle w:val="ListParagraph"/>
              <w:numPr>
                <w:ilvl w:val="0"/>
                <w:numId w:val="20"/>
              </w:numPr>
              <w:contextualSpacing w:val="0"/>
            </w:pPr>
            <w:r>
              <w:t xml:space="preserve">Tidal parts of rivers and estuaries should </w:t>
            </w:r>
            <w:r w:rsidR="00106E9E">
              <w:t xml:space="preserve">also </w:t>
            </w:r>
            <w:r>
              <w:t xml:space="preserve">be </w:t>
            </w:r>
            <w:r w:rsidR="00106E9E">
              <w:t xml:space="preserve">the </w:t>
            </w:r>
            <w:r w:rsidR="003B4E88">
              <w:t>R</w:t>
            </w:r>
            <w:r>
              <w:t>ed</w:t>
            </w:r>
            <w:r w:rsidR="00106E9E">
              <w:t xml:space="preserve"> Zone</w:t>
            </w:r>
            <w:r>
              <w:t xml:space="preserve">, along with the above same polygon classes where they </w:t>
            </w:r>
            <w:r w:rsidR="003B4E88">
              <w:t xml:space="preserve">border </w:t>
            </w:r>
            <w:r>
              <w:t xml:space="preserve">rivers and estuaries </w:t>
            </w:r>
          </w:p>
          <w:p w:rsidR="00106E9E" w:rsidRDefault="00580BB0" w:rsidP="00A44022">
            <w:pPr>
              <w:pStyle w:val="ListParagraph"/>
              <w:numPr>
                <w:ilvl w:val="0"/>
                <w:numId w:val="20"/>
              </w:numPr>
              <w:contextualSpacing w:val="0"/>
            </w:pPr>
            <w:r>
              <w:t xml:space="preserve">Local knowledge may be used to buffer areas alongside rivers where these are estimated to be less than 2m above high tide level </w:t>
            </w:r>
          </w:p>
          <w:p w:rsidR="00580BB0" w:rsidRDefault="00580BB0" w:rsidP="00A44022">
            <w:pPr>
              <w:pStyle w:val="ListParagraph"/>
              <w:numPr>
                <w:ilvl w:val="0"/>
                <w:numId w:val="20"/>
              </w:numPr>
              <w:contextualSpacing w:val="0"/>
            </w:pPr>
            <w:r>
              <w:t>In the absence of local information a buffer of the tidal part of rivers can be used that extends 100m perpendicular to the river at the coast, tapers to 50m wide at 400m inland, and to no buffer at 800m inland.</w:t>
            </w:r>
          </w:p>
          <w:p w:rsidR="00580BB0" w:rsidRDefault="00580BB0" w:rsidP="00A44022">
            <w:r>
              <w:t xml:space="preserve">In all cases the Red Zone should be visible along the entire coast at the map's scale, so it should be enlarged to create a decent visual </w:t>
            </w:r>
            <w:r w:rsidR="003B4E88">
              <w:t>R</w:t>
            </w:r>
            <w:r>
              <w:t>ed line along any coast where it is otherwise visually too thin to be clear.</w:t>
            </w:r>
          </w:p>
        </w:tc>
      </w:tr>
    </w:tbl>
    <w:p w:rsidR="00580BB0" w:rsidRDefault="00580BB0" w:rsidP="00A44022">
      <w:pPr>
        <w:pStyle w:val="Heading3"/>
        <w:spacing w:after="120"/>
      </w:pPr>
      <w:bookmarkStart w:id="46" w:name="_Toc443381812"/>
      <w:r>
        <w:lastRenderedPageBreak/>
        <w:t>Maritime</w:t>
      </w:r>
      <w:bookmarkEnd w:id="46"/>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580BB0" w:rsidTr="00580BB0">
        <w:tc>
          <w:tcPr>
            <w:tcW w:w="1928" w:type="dxa"/>
            <w:tcMar>
              <w:right w:w="227" w:type="dxa"/>
            </w:tcMar>
          </w:tcPr>
          <w:p w:rsidR="00580BB0" w:rsidRPr="00CF5073" w:rsidRDefault="00580BB0" w:rsidP="00A44022">
            <w:pPr>
              <w:pStyle w:val="LHcolumn"/>
            </w:pPr>
          </w:p>
        </w:tc>
        <w:tc>
          <w:tcPr>
            <w:tcW w:w="7711" w:type="dxa"/>
          </w:tcPr>
          <w:p w:rsidR="00580BB0" w:rsidRPr="00253B3D" w:rsidRDefault="00580BB0" w:rsidP="00D94FBE">
            <w:r w:rsidRPr="00580BB0">
              <w:t xml:space="preserve">Recommended template advice for ports, shipping and people in boats is </w:t>
            </w:r>
            <w:r w:rsidR="00D94FBE">
              <w:t xml:space="preserve">provided in section </w:t>
            </w:r>
            <w:r w:rsidR="00D94FBE">
              <w:fldChar w:fldCharType="begin"/>
            </w:r>
            <w:r w:rsidR="00D94FBE">
              <w:instrText xml:space="preserve"> REF _Ref442786146 \n \h </w:instrText>
            </w:r>
            <w:r w:rsidR="00D94FBE">
              <w:fldChar w:fldCharType="separate"/>
            </w:r>
            <w:r w:rsidR="009B2134">
              <w:t>6.6</w:t>
            </w:r>
            <w:r w:rsidR="00D94FBE">
              <w:fldChar w:fldCharType="end"/>
            </w:r>
            <w:r w:rsidR="00D94FBE">
              <w:t xml:space="preserve"> </w:t>
            </w:r>
            <w:r w:rsidR="00D94FBE" w:rsidRPr="00D94FBE">
              <w:rPr>
                <w:i/>
                <w:color w:val="005A9B" w:themeColor="background2"/>
                <w:u w:val="single"/>
              </w:rPr>
              <w:fldChar w:fldCharType="begin"/>
            </w:r>
            <w:r w:rsidR="00D94FBE" w:rsidRPr="00D94FBE">
              <w:rPr>
                <w:i/>
                <w:color w:val="005A9B" w:themeColor="background2"/>
                <w:u w:val="single"/>
              </w:rPr>
              <w:instrText xml:space="preserve"> REF _Ref442786151 \h  \* MERGEFORMAT </w:instrText>
            </w:r>
            <w:r w:rsidR="00D94FBE" w:rsidRPr="00D94FBE">
              <w:rPr>
                <w:i/>
                <w:color w:val="005A9B" w:themeColor="background2"/>
                <w:u w:val="single"/>
              </w:rPr>
            </w:r>
            <w:r w:rsidR="00D94FBE" w:rsidRPr="00D94FBE">
              <w:rPr>
                <w:i/>
                <w:color w:val="005A9B" w:themeColor="background2"/>
                <w:u w:val="single"/>
              </w:rPr>
              <w:fldChar w:fldCharType="separate"/>
            </w:r>
            <w:r w:rsidR="009B2134" w:rsidRPr="009B2134">
              <w:rPr>
                <w:i/>
                <w:color w:val="005A9B" w:themeColor="background2"/>
                <w:u w:val="single"/>
              </w:rPr>
              <w:t>Advice for ports, shipping and people in boats</w:t>
            </w:r>
            <w:r w:rsidR="00D94FBE" w:rsidRPr="00D94FBE">
              <w:rPr>
                <w:i/>
                <w:color w:val="005A9B" w:themeColor="background2"/>
                <w:u w:val="single"/>
              </w:rPr>
              <w:fldChar w:fldCharType="end"/>
            </w:r>
            <w:r w:rsidR="00D94FBE">
              <w:t xml:space="preserve"> on page </w:t>
            </w:r>
            <w:r w:rsidR="00D94FBE">
              <w:fldChar w:fldCharType="begin"/>
            </w:r>
            <w:r w:rsidR="00D94FBE">
              <w:instrText xml:space="preserve"> PAGEREF _Ref442786153 \h </w:instrText>
            </w:r>
            <w:r w:rsidR="00D94FBE">
              <w:fldChar w:fldCharType="separate"/>
            </w:r>
            <w:r w:rsidR="009B2134">
              <w:rPr>
                <w:noProof/>
              </w:rPr>
              <w:t>33</w:t>
            </w:r>
            <w:r w:rsidR="00D94FBE">
              <w:fldChar w:fldCharType="end"/>
            </w:r>
            <w:r w:rsidRPr="00580BB0">
              <w:t>.</w:t>
            </w:r>
          </w:p>
        </w:tc>
      </w:tr>
    </w:tbl>
    <w:p w:rsidR="00953989" w:rsidRDefault="00953989" w:rsidP="00A44022"/>
    <w:p w:rsidR="00D45DA7" w:rsidRDefault="00580BB0" w:rsidP="00A44022">
      <w:pPr>
        <w:pStyle w:val="Heading3"/>
        <w:spacing w:after="120"/>
      </w:pPr>
      <w:bookmarkStart w:id="47" w:name="_Toc443381813"/>
      <w:r>
        <w:t xml:space="preserve">Probabilistic </w:t>
      </w:r>
      <w:r w:rsidR="00721D6A">
        <w:t>data</w:t>
      </w:r>
      <w:bookmarkEnd w:id="47"/>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580BB0" w:rsidRPr="00580BB0" w:rsidTr="00580BB0">
        <w:tc>
          <w:tcPr>
            <w:tcW w:w="1928" w:type="dxa"/>
            <w:tcMar>
              <w:right w:w="227" w:type="dxa"/>
            </w:tcMar>
          </w:tcPr>
          <w:p w:rsidR="00580BB0" w:rsidRPr="00580BB0" w:rsidRDefault="00580BB0" w:rsidP="00A44022">
            <w:pPr>
              <w:rPr>
                <w:b/>
                <w:lang w:eastAsia="en-US"/>
              </w:rPr>
            </w:pPr>
          </w:p>
        </w:tc>
        <w:tc>
          <w:tcPr>
            <w:tcW w:w="7711" w:type="dxa"/>
          </w:tcPr>
          <w:p w:rsidR="00EC3148" w:rsidRDefault="00580BB0" w:rsidP="00A44022">
            <w:pPr>
              <w:rPr>
                <w:lang w:eastAsia="en-US"/>
              </w:rPr>
            </w:pPr>
            <w:r>
              <w:rPr>
                <w:lang w:eastAsia="en-US"/>
              </w:rPr>
              <w:t xml:space="preserve">It is recommended that </w:t>
            </w:r>
            <w:r w:rsidR="003B4E88">
              <w:rPr>
                <w:lang w:eastAsia="en-US"/>
              </w:rPr>
              <w:t>p</w:t>
            </w:r>
            <w:r>
              <w:rPr>
                <w:lang w:eastAsia="en-US"/>
              </w:rPr>
              <w:t>robabilistic data</w:t>
            </w:r>
            <w:r w:rsidR="00BC546B">
              <w:rPr>
                <w:lang w:eastAsia="en-US"/>
              </w:rPr>
              <w:t xml:space="preserve"> such as </w:t>
            </w:r>
            <w:r>
              <w:rPr>
                <w:lang w:eastAsia="en-US"/>
              </w:rPr>
              <w:t>the 2500 year 84% confidence shoreline wave amplitudes</w:t>
            </w:r>
            <w:r w:rsidR="0025119A">
              <w:rPr>
                <w:lang w:eastAsia="en-US"/>
              </w:rPr>
              <w:t>,</w:t>
            </w:r>
            <w:r>
              <w:rPr>
                <w:lang w:eastAsia="en-US"/>
              </w:rPr>
              <w:t xml:space="preserve"> recomm</w:t>
            </w:r>
            <w:r w:rsidR="0025119A">
              <w:rPr>
                <w:lang w:eastAsia="en-US"/>
              </w:rPr>
              <w:t xml:space="preserve">ended for the Level 2 approach, </w:t>
            </w:r>
            <w:r>
              <w:rPr>
                <w:lang w:eastAsia="en-US"/>
              </w:rPr>
              <w:t>should be taken from the New Zealand Probabilistic Tsunami Hazard Model (NZPTHM). The current version of the NZPTHM is described in Power (2013), and outputs are available from the GNS Science website</w:t>
            </w:r>
            <w:r w:rsidR="00EC3148">
              <w:rPr>
                <w:lang w:eastAsia="en-US"/>
              </w:rPr>
              <w:t xml:space="preserve">: </w:t>
            </w:r>
            <w:hyperlink r:id="rId34" w:history="1">
              <w:r w:rsidR="00D61EBB" w:rsidRPr="007D4A21">
                <w:rPr>
                  <w:rStyle w:val="Hyperlink"/>
                </w:rPr>
                <w:t>http://www.gns.cri.nz/</w:t>
              </w:r>
            </w:hyperlink>
            <w:r w:rsidR="00D61EBB">
              <w:rPr>
                <w:lang w:eastAsia="en-US"/>
              </w:rPr>
              <w:t>, u</w:t>
            </w:r>
            <w:r w:rsidR="00EC3148">
              <w:rPr>
                <w:lang w:eastAsia="en-US"/>
              </w:rPr>
              <w:t>nder</w:t>
            </w:r>
            <w:r w:rsidR="00D61EBB">
              <w:rPr>
                <w:lang w:eastAsia="en-US"/>
              </w:rPr>
              <w:t xml:space="preserve"> ‘</w:t>
            </w:r>
            <w:r w:rsidR="00EC3148">
              <w:rPr>
                <w:lang w:eastAsia="en-US"/>
              </w:rPr>
              <w:t>Our-Science/Natural-Hazards/Tsunami</w:t>
            </w:r>
            <w:r w:rsidR="00D61EBB">
              <w:rPr>
                <w:lang w:eastAsia="en-US"/>
              </w:rPr>
              <w:t>’.</w:t>
            </w:r>
          </w:p>
          <w:p w:rsidR="00580BB0" w:rsidRDefault="00580BB0" w:rsidP="00A44022">
            <w:pPr>
              <w:rPr>
                <w:lang w:eastAsia="en-US"/>
              </w:rPr>
            </w:pPr>
            <w:r>
              <w:rPr>
                <w:lang w:eastAsia="en-US"/>
              </w:rPr>
              <w:t>The NZPTHM will update over time.</w:t>
            </w:r>
          </w:p>
          <w:p w:rsidR="00580BB0" w:rsidRDefault="00580BB0" w:rsidP="00A44022">
            <w:pPr>
              <w:rPr>
                <w:lang w:eastAsia="en-US"/>
              </w:rPr>
            </w:pPr>
            <w:r>
              <w:rPr>
                <w:lang w:eastAsia="en-US"/>
              </w:rPr>
              <w:t>It is also recommended that scenarios for the Level 3b approach are taken from the de-aggregation data provided by the NZPTHM. The NZPTHM uses the concept of an ‘effective magnitude’ to incorporate the effects of random variations (for instance in the distribution of fault movement) between earthquakes and other sources of uncertainty. Variations in the extent of inundation caused by variations among the properties of earthquakes of one magnitude can in this way be encompassed by modelling a uniform-slip earthquake of a larger magnitude. In this way the use of scenarios from the NZPTHM avoids the necessity to run a very large number of scenarios to cover off the full spectrum of possible events. One consequence of this is that it may sometimes be necessary to run models with an ‘effective magnitude’ that is larger than the largest ‘actual magnitude’ a fault is believed to be capable of.</w:t>
            </w:r>
          </w:p>
          <w:p w:rsidR="002943D3" w:rsidRPr="00580BB0" w:rsidRDefault="00580BB0" w:rsidP="00A44022">
            <w:pPr>
              <w:rPr>
                <w:lang w:eastAsia="en-US"/>
              </w:rPr>
            </w:pPr>
            <w:r>
              <w:rPr>
                <w:lang w:eastAsia="en-US"/>
              </w:rPr>
              <w:t xml:space="preserve">Level 3 and 4 methods for calculating the Orange </w:t>
            </w:r>
            <w:r w:rsidR="003B4E88">
              <w:rPr>
                <w:lang w:eastAsia="en-US"/>
              </w:rPr>
              <w:t>Z</w:t>
            </w:r>
            <w:r>
              <w:rPr>
                <w:lang w:eastAsia="en-US"/>
              </w:rPr>
              <w:t>one are in development. The essential requirement is to model a set of scenarios that will encompass the inundation that could be caused by all tsunami that fit within the specified threat</w:t>
            </w:r>
            <w:r w:rsidR="000E3CC5">
              <w:rPr>
                <w:lang w:eastAsia="en-US"/>
              </w:rPr>
              <w:t xml:space="preserve"> </w:t>
            </w:r>
            <w:r>
              <w:rPr>
                <w:lang w:eastAsia="en-US"/>
              </w:rPr>
              <w:t>level.</w:t>
            </w:r>
          </w:p>
        </w:tc>
      </w:tr>
    </w:tbl>
    <w:p w:rsidR="00953989" w:rsidRDefault="00953989" w:rsidP="00A44022"/>
    <w:p w:rsidR="00580BB0" w:rsidRDefault="00580BB0" w:rsidP="00A44022">
      <w:pPr>
        <w:pStyle w:val="Heading2"/>
      </w:pPr>
      <w:bookmarkStart w:id="48" w:name="_Toc443381814"/>
      <w:r>
        <w:t xml:space="preserve">Minimum </w:t>
      </w:r>
      <w:r w:rsidR="00721D6A">
        <w:t xml:space="preserve">mapping standard </w:t>
      </w:r>
      <w:r>
        <w:t xml:space="preserve">and </w:t>
      </w:r>
      <w:r w:rsidR="00721D6A">
        <w:t xml:space="preserve">improving zone boundaries </w:t>
      </w:r>
      <w:r w:rsidR="00C8081E">
        <w:t>o</w:t>
      </w:r>
      <w:r>
        <w:t xml:space="preserve">ver </w:t>
      </w:r>
      <w:r w:rsidR="00721D6A">
        <w:t>time</w:t>
      </w:r>
      <w:bookmarkEnd w:id="48"/>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580BB0" w:rsidTr="00580BB0">
        <w:tc>
          <w:tcPr>
            <w:tcW w:w="1928" w:type="dxa"/>
            <w:tcMar>
              <w:right w:w="227" w:type="dxa"/>
            </w:tcMar>
          </w:tcPr>
          <w:p w:rsidR="00580BB0" w:rsidRPr="00CF5073" w:rsidRDefault="00580BB0" w:rsidP="00A44022">
            <w:pPr>
              <w:pStyle w:val="LHcolumn"/>
            </w:pPr>
          </w:p>
        </w:tc>
        <w:tc>
          <w:tcPr>
            <w:tcW w:w="7711" w:type="dxa"/>
          </w:tcPr>
          <w:p w:rsidR="00580BB0" w:rsidRPr="00253B3D" w:rsidRDefault="00580BB0" w:rsidP="00A44022">
            <w:r w:rsidRPr="00B4076E">
              <w:t xml:space="preserve">As the understanding of tsunami hazard and risk improves, </w:t>
            </w:r>
            <w:r w:rsidR="00B4076E" w:rsidRPr="00B4076E">
              <w:t>l</w:t>
            </w:r>
            <w:r w:rsidRPr="00B4076E">
              <w:t xml:space="preserve">ocal </w:t>
            </w:r>
            <w:r w:rsidR="00B4076E" w:rsidRPr="00B4076E">
              <w:t>a</w:t>
            </w:r>
            <w:r w:rsidRPr="00B4076E">
              <w:t>uthorities and CDEM Groups should be looking to advance the level of technical sophistication used in developing tsunami hazard and evacuation zones. Un</w:t>
            </w:r>
            <w:r w:rsidR="00AB38F0" w:rsidRPr="00B4076E">
              <w:t>less</w:t>
            </w:r>
            <w:r w:rsidRPr="00B4076E">
              <w:t xml:space="preserve"> higher stage assessments </w:t>
            </w:r>
            <w:r w:rsidR="00592414" w:rsidRPr="00B4076E">
              <w:t>are</w:t>
            </w:r>
            <w:r w:rsidRPr="00B4076E">
              <w:t xml:space="preserve"> undertaken, a </w:t>
            </w:r>
            <w:r w:rsidR="00592414" w:rsidRPr="00B4076E">
              <w:t xml:space="preserve">conservative </w:t>
            </w:r>
            <w:r w:rsidRPr="00B4076E">
              <w:t>approach is recommended in defining the placement of evacuation zone boundaries. The recommended minimum development standard for defining tsunami evacuation zone boundaries is the application of a model consistent with developmental Level 2 (rule-based approximation).</w:t>
            </w:r>
          </w:p>
        </w:tc>
      </w:tr>
    </w:tbl>
    <w:p w:rsidR="00953989" w:rsidRDefault="00953989" w:rsidP="00A44022"/>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953989" w:rsidTr="00580BB0">
        <w:tc>
          <w:tcPr>
            <w:tcW w:w="1928" w:type="dxa"/>
            <w:tcMar>
              <w:right w:w="227" w:type="dxa"/>
            </w:tcMar>
          </w:tcPr>
          <w:p w:rsidR="00953989" w:rsidRPr="00CF5073" w:rsidRDefault="00953989" w:rsidP="00A44022">
            <w:pPr>
              <w:pStyle w:val="LHcolumn"/>
            </w:pPr>
          </w:p>
        </w:tc>
        <w:tc>
          <w:tcPr>
            <w:tcW w:w="7711" w:type="dxa"/>
          </w:tcPr>
          <w:p w:rsidR="00953989" w:rsidRPr="00B4076E" w:rsidRDefault="00953989" w:rsidP="00A44022">
            <w:r w:rsidRPr="00B4076E">
              <w:t>An initial step to use for small coastal communities, when faced with limited resources for hazard mapping, would be to agree that the entire settlement is within a Yellow Zone until a Level 2 or higher stage assessment can be undertaken.</w:t>
            </w:r>
          </w:p>
          <w:p w:rsidR="00953989" w:rsidRPr="00B4076E" w:rsidRDefault="00953989" w:rsidP="00A44022">
            <w:r w:rsidRPr="00B4076E">
              <w:t>Even though tsunami evacuation zone boundaries may change in the future, the components, colours, and style of the maps will not need to change. This is important for sustaining community awareness and inter-generational tsunami readiness.</w:t>
            </w:r>
          </w:p>
        </w:tc>
      </w:tr>
    </w:tbl>
    <w:p w:rsidR="00953989" w:rsidRDefault="00953989" w:rsidP="00A44022"/>
    <w:p w:rsidR="00580BB0" w:rsidRDefault="00580BB0" w:rsidP="00A44022">
      <w:pPr>
        <w:pStyle w:val="Heading3"/>
        <w:spacing w:after="120"/>
      </w:pPr>
      <w:bookmarkStart w:id="49" w:name="_Toc443381815"/>
      <w:r>
        <w:t xml:space="preserve">Land </w:t>
      </w:r>
      <w:r w:rsidR="00721D6A">
        <w:t>use planning</w:t>
      </w:r>
      <w:bookmarkEnd w:id="49"/>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580BB0" w:rsidTr="00580BB0">
        <w:tc>
          <w:tcPr>
            <w:tcW w:w="1928" w:type="dxa"/>
            <w:tcMar>
              <w:right w:w="227" w:type="dxa"/>
            </w:tcMar>
          </w:tcPr>
          <w:p w:rsidR="00580BB0" w:rsidRPr="00CF5073" w:rsidRDefault="00580BB0" w:rsidP="00A44022">
            <w:pPr>
              <w:pStyle w:val="LHcolumn"/>
            </w:pPr>
          </w:p>
        </w:tc>
        <w:tc>
          <w:tcPr>
            <w:tcW w:w="7711" w:type="dxa"/>
          </w:tcPr>
          <w:p w:rsidR="00580BB0" w:rsidRDefault="005F66D8" w:rsidP="00A44022">
            <w:r>
              <w:t>T</w:t>
            </w:r>
            <w:r w:rsidR="00580BB0">
              <w:t>he New Zealand Coastal Policy Statement (</w:t>
            </w:r>
            <w:proofErr w:type="spellStart"/>
            <w:r>
              <w:t>DoC</w:t>
            </w:r>
            <w:proofErr w:type="spellEnd"/>
            <w:r>
              <w:t xml:space="preserve"> </w:t>
            </w:r>
            <w:r w:rsidR="00580BB0">
              <w:t>2010)</w:t>
            </w:r>
            <w:r>
              <w:t xml:space="preserve"> </w:t>
            </w:r>
            <w:r w:rsidR="008107FF">
              <w:t>sets out national</w:t>
            </w:r>
            <w:r>
              <w:t xml:space="preserve"> polic</w:t>
            </w:r>
            <w:r w:rsidR="0057473F">
              <w:t>y</w:t>
            </w:r>
            <w:r>
              <w:t xml:space="preserve"> </w:t>
            </w:r>
            <w:r w:rsidR="0012214C">
              <w:t>under the Resource Management Act 1991</w:t>
            </w:r>
            <w:r w:rsidR="00482AA2">
              <w:t xml:space="preserve"> (RMA)</w:t>
            </w:r>
            <w:r w:rsidR="0012214C">
              <w:t xml:space="preserve"> </w:t>
            </w:r>
            <w:r>
              <w:t>for managing areas potentially affected by coastal hazards</w:t>
            </w:r>
            <w:r w:rsidR="001D2DDA">
              <w:t xml:space="preserve"> (</w:t>
            </w:r>
            <w:r w:rsidR="007A394E">
              <w:t>see P</w:t>
            </w:r>
            <w:r w:rsidR="001D2DDA">
              <w:t>olicies 24-27)</w:t>
            </w:r>
            <w:r w:rsidR="00B4076E">
              <w:t>. Th</w:t>
            </w:r>
            <w:r w:rsidR="007A394E">
              <w:t>is</w:t>
            </w:r>
            <w:r w:rsidR="00B4076E">
              <w:t xml:space="preserve"> polic</w:t>
            </w:r>
            <w:r w:rsidR="007A394E">
              <w:t>y</w:t>
            </w:r>
            <w:r w:rsidR="008107FF">
              <w:t xml:space="preserve"> </w:t>
            </w:r>
            <w:r>
              <w:t>include</w:t>
            </w:r>
            <w:r w:rsidR="007A394E">
              <w:t>s</w:t>
            </w:r>
            <w:r>
              <w:t xml:space="preserve"> </w:t>
            </w:r>
            <w:r w:rsidR="00580BB0">
              <w:t>the potential effects of tsunami, and how to avoid or mitigate them.</w:t>
            </w:r>
            <w:r w:rsidR="001D2DDA">
              <w:t xml:space="preserve"> Other than evacuation planning, measures could include</w:t>
            </w:r>
            <w:r w:rsidR="00482AA2">
              <w:t xml:space="preserve"> requirements for </w:t>
            </w:r>
            <w:r w:rsidR="00E824C7">
              <w:t xml:space="preserve">subdivision, </w:t>
            </w:r>
            <w:r w:rsidR="00327852">
              <w:t>development</w:t>
            </w:r>
            <w:r w:rsidR="00855281">
              <w:t xml:space="preserve"> </w:t>
            </w:r>
            <w:r w:rsidR="001D2DDA">
              <w:t>and land-use</w:t>
            </w:r>
            <w:r w:rsidR="00855281">
              <w:t xml:space="preserve">. </w:t>
            </w:r>
            <w:r w:rsidR="001D2DDA">
              <w:t xml:space="preserve">  </w:t>
            </w:r>
          </w:p>
          <w:p w:rsidR="000252FB" w:rsidRDefault="00855281" w:rsidP="00A44022">
            <w:r>
              <w:t>If proposing to use L</w:t>
            </w:r>
            <w:r w:rsidR="000252FB">
              <w:t>evel 2 modelling for</w:t>
            </w:r>
            <w:r w:rsidR="00327852">
              <w:t xml:space="preserve"> establishing</w:t>
            </w:r>
            <w:r w:rsidR="000252FB">
              <w:t xml:space="preserve"> </w:t>
            </w:r>
            <w:r w:rsidR="00122190">
              <w:t>measures</w:t>
            </w:r>
            <w:r w:rsidR="00327852">
              <w:t xml:space="preserve"> </w:t>
            </w:r>
            <w:r>
              <w:t xml:space="preserve">beyond that of </w:t>
            </w:r>
            <w:r w:rsidR="00327852">
              <w:t>evacuation pl</w:t>
            </w:r>
            <w:r>
              <w:t>anning</w:t>
            </w:r>
            <w:r w:rsidR="00327852">
              <w:t xml:space="preserve">, it is important to acknowledge </w:t>
            </w:r>
            <w:r w:rsidR="00A02194">
              <w:t>that there are</w:t>
            </w:r>
            <w:r w:rsidR="000252FB">
              <w:t xml:space="preserve"> large uncertainties </w:t>
            </w:r>
            <w:r w:rsidR="00327852">
              <w:t xml:space="preserve">involved </w:t>
            </w:r>
            <w:r w:rsidR="000252FB">
              <w:t xml:space="preserve">and that this level is typically conservative. </w:t>
            </w:r>
            <w:r w:rsidR="00327852">
              <w:t xml:space="preserve">As such, </w:t>
            </w:r>
            <w:r w:rsidR="00717372">
              <w:t xml:space="preserve">the </w:t>
            </w:r>
            <w:r w:rsidR="00A02194">
              <w:t>l</w:t>
            </w:r>
            <w:r w:rsidR="000252FB">
              <w:t>ocation</w:t>
            </w:r>
            <w:r w:rsidR="00717372">
              <w:t xml:space="preserve"> of a site </w:t>
            </w:r>
            <w:r w:rsidR="00A02194">
              <w:t xml:space="preserve">in relation </w:t>
            </w:r>
            <w:r w:rsidR="000252FB">
              <w:t>to Level 2 evacuation zon</w:t>
            </w:r>
            <w:r w:rsidR="00717372">
              <w:t>ing</w:t>
            </w:r>
            <w:r w:rsidR="000252FB">
              <w:t xml:space="preserve"> could be used to highlight </w:t>
            </w:r>
            <w:r w:rsidR="00122190">
              <w:t>it’s</w:t>
            </w:r>
            <w:r w:rsidR="00A36504">
              <w:t xml:space="preserve"> </w:t>
            </w:r>
            <w:r w:rsidR="00717372">
              <w:t>potential</w:t>
            </w:r>
            <w:r w:rsidR="00A36504">
              <w:t xml:space="preserve"> for</w:t>
            </w:r>
            <w:r w:rsidR="00717372">
              <w:t xml:space="preserve"> </w:t>
            </w:r>
            <w:r w:rsidR="00A36504">
              <w:t>tsunami</w:t>
            </w:r>
            <w:r w:rsidR="000252FB">
              <w:t xml:space="preserve"> risk</w:t>
            </w:r>
            <w:r w:rsidR="008107FF">
              <w:t xml:space="preserve">. This may trigger a </w:t>
            </w:r>
            <w:r w:rsidR="00A02194">
              <w:t>need for</w:t>
            </w:r>
            <w:r w:rsidR="000252FB">
              <w:t xml:space="preserve"> further high resolution assessments for </w:t>
            </w:r>
            <w:r w:rsidR="00717372">
              <w:t xml:space="preserve">that </w:t>
            </w:r>
            <w:r w:rsidR="00122190">
              <w:t xml:space="preserve">site </w:t>
            </w:r>
            <w:r w:rsidR="00482AA2">
              <w:t>in</w:t>
            </w:r>
            <w:r w:rsidR="008107FF">
              <w:t xml:space="preserve"> context to </w:t>
            </w:r>
            <w:r w:rsidR="005D1CDE">
              <w:t>a</w:t>
            </w:r>
            <w:r w:rsidR="00A02194">
              <w:t xml:space="preserve"> </w:t>
            </w:r>
            <w:r w:rsidR="000252FB">
              <w:t xml:space="preserve">development </w:t>
            </w:r>
            <w:r w:rsidR="005D1CDE">
              <w:t xml:space="preserve">or land-use </w:t>
            </w:r>
            <w:r w:rsidR="000252FB">
              <w:t xml:space="preserve">proposal.  </w:t>
            </w:r>
          </w:p>
          <w:p w:rsidR="00F51D83" w:rsidRDefault="000252FB" w:rsidP="00A44022">
            <w:r>
              <w:t>Level 2</w:t>
            </w:r>
            <w:r w:rsidR="00F51D83">
              <w:t xml:space="preserve"> modelling</w:t>
            </w:r>
            <w:r>
              <w:t xml:space="preserve"> is </w:t>
            </w:r>
            <w:r w:rsidR="008F0CD6">
              <w:t>generally</w:t>
            </w:r>
            <w:r w:rsidR="00A02194">
              <w:t xml:space="preserve"> </w:t>
            </w:r>
            <w:r>
              <w:t>appropriate for</w:t>
            </w:r>
            <w:r w:rsidR="00F51D83">
              <w:t xml:space="preserve"> inclusion in a</w:t>
            </w:r>
            <w:r>
              <w:t xml:space="preserve"> </w:t>
            </w:r>
            <w:r w:rsidR="00F51D83">
              <w:t>Land Information Memorandum (</w:t>
            </w:r>
            <w:r>
              <w:t>LIM</w:t>
            </w:r>
            <w:r w:rsidR="00F51D83">
              <w:t>)</w:t>
            </w:r>
            <w:r>
              <w:t xml:space="preserve"> in terms of making </w:t>
            </w:r>
            <w:r w:rsidR="00F51D83">
              <w:t xml:space="preserve">the </w:t>
            </w:r>
            <w:r>
              <w:t>owners</w:t>
            </w:r>
            <w:r w:rsidR="008F0CD6">
              <w:t xml:space="preserve">, </w:t>
            </w:r>
            <w:r w:rsidR="00F51D83">
              <w:t>occupiers and other interested parties a</w:t>
            </w:r>
            <w:r>
              <w:t>ware that the</w:t>
            </w:r>
            <w:r w:rsidR="00F51D83">
              <w:t xml:space="preserve"> property</w:t>
            </w:r>
            <w:r>
              <w:t xml:space="preserve"> </w:t>
            </w:r>
            <w:r w:rsidR="00F51D83">
              <w:t>is within</w:t>
            </w:r>
            <w:r>
              <w:t xml:space="preserve"> a tsunami evacuation zone. </w:t>
            </w:r>
          </w:p>
          <w:p w:rsidR="00580BB0" w:rsidRPr="00253B3D" w:rsidRDefault="000252FB" w:rsidP="00A44022">
            <w:r>
              <w:t xml:space="preserve">Levels 3 and 4 </w:t>
            </w:r>
            <w:r w:rsidR="00CC00EB">
              <w:t xml:space="preserve">tsunami risk </w:t>
            </w:r>
            <w:r>
              <w:t xml:space="preserve">modelling </w:t>
            </w:r>
            <w:r w:rsidR="00774E1A">
              <w:t xml:space="preserve">will </w:t>
            </w:r>
            <w:r>
              <w:t xml:space="preserve">better inform risk-based </w:t>
            </w:r>
            <w:r w:rsidR="005D1CDE">
              <w:t xml:space="preserve">RMA </w:t>
            </w:r>
            <w:r>
              <w:t>planning</w:t>
            </w:r>
            <w:r w:rsidR="00EC7067">
              <w:t xml:space="preserve"> </w:t>
            </w:r>
            <w:r w:rsidR="00774E1A">
              <w:t xml:space="preserve">measures </w:t>
            </w:r>
            <w:r w:rsidR="00EC7067">
              <w:t>to a</w:t>
            </w:r>
            <w:r w:rsidR="00262F19">
              <w:t>v</w:t>
            </w:r>
            <w:r w:rsidR="00EC7067">
              <w:t>oid or mitigate tsunami risk</w:t>
            </w:r>
            <w:r w:rsidR="008F0CD6">
              <w:t>. They</w:t>
            </w:r>
            <w:r w:rsidR="004A3156">
              <w:t xml:space="preserve"> could also be used in</w:t>
            </w:r>
            <w:r>
              <w:t xml:space="preserve"> pre-event recovery planning</w:t>
            </w:r>
            <w:r w:rsidR="004A3156">
              <w:t>,</w:t>
            </w:r>
            <w:r w:rsidR="00262F19">
              <w:t xml:space="preserve"> such as </w:t>
            </w:r>
            <w:r w:rsidR="00A36504">
              <w:t>establishing</w:t>
            </w:r>
            <w:r w:rsidR="004A3156">
              <w:t xml:space="preserve"> </w:t>
            </w:r>
            <w:r w:rsidR="00774E1A">
              <w:t>options</w:t>
            </w:r>
            <w:r w:rsidR="004A3156">
              <w:t xml:space="preserve"> for </w:t>
            </w:r>
            <w:r w:rsidR="00262F19">
              <w:t>set</w:t>
            </w:r>
            <w:r w:rsidR="005D1CDE">
              <w:t>-</w:t>
            </w:r>
            <w:proofErr w:type="gramStart"/>
            <w:r w:rsidR="00262F19">
              <w:t>back,</w:t>
            </w:r>
            <w:proofErr w:type="gramEnd"/>
            <w:r w:rsidR="00262F19">
              <w:t xml:space="preserve"> retreat or re</w:t>
            </w:r>
            <w:r w:rsidR="004A3156">
              <w:t>-</w:t>
            </w:r>
            <w:r w:rsidR="00262F19">
              <w:t>design</w:t>
            </w:r>
            <w:r>
              <w:t>.</w:t>
            </w:r>
            <w:r w:rsidR="00EC7067">
              <w:t xml:space="preserve"> </w:t>
            </w:r>
          </w:p>
        </w:tc>
      </w:tr>
    </w:tbl>
    <w:p w:rsidR="00953989" w:rsidRDefault="00953989" w:rsidP="00A44022"/>
    <w:p w:rsidR="00580BB0" w:rsidRDefault="00580BB0" w:rsidP="00A44022">
      <w:pPr>
        <w:pStyle w:val="Heading2"/>
      </w:pPr>
      <w:bookmarkStart w:id="50" w:name="_Toc443381816"/>
      <w:r>
        <w:t xml:space="preserve">Accommodating </w:t>
      </w:r>
      <w:r w:rsidR="00721D6A">
        <w:t xml:space="preserve">existing hazard </w:t>
      </w:r>
      <w:r>
        <w:t xml:space="preserve">or </w:t>
      </w:r>
      <w:r w:rsidR="00721D6A">
        <w:t>evacuation zone information</w:t>
      </w:r>
      <w:bookmarkEnd w:id="50"/>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580BB0" w:rsidTr="00580BB0">
        <w:tc>
          <w:tcPr>
            <w:tcW w:w="1928" w:type="dxa"/>
            <w:tcMar>
              <w:right w:w="227" w:type="dxa"/>
            </w:tcMar>
          </w:tcPr>
          <w:p w:rsidR="00580BB0" w:rsidRPr="00CF5073" w:rsidRDefault="00580BB0" w:rsidP="00A44022">
            <w:pPr>
              <w:pStyle w:val="LHcolumn"/>
            </w:pPr>
          </w:p>
        </w:tc>
        <w:tc>
          <w:tcPr>
            <w:tcW w:w="7711" w:type="dxa"/>
          </w:tcPr>
          <w:p w:rsidR="00580BB0" w:rsidRDefault="00580BB0" w:rsidP="00A44022">
            <w:r>
              <w:t xml:space="preserve">The specific method used to define hazard zone boundaries and the level of risk being managed is up to </w:t>
            </w:r>
            <w:r w:rsidR="008A2E0C">
              <w:t>l</w:t>
            </w:r>
            <w:r>
              <w:t xml:space="preserve">ocal </w:t>
            </w:r>
            <w:r w:rsidR="008A2E0C">
              <w:t>a</w:t>
            </w:r>
            <w:r>
              <w:t>uthorities to decide for themselves, in close consultation with their communities.</w:t>
            </w:r>
          </w:p>
          <w:p w:rsidR="00953989" w:rsidRPr="00253B3D" w:rsidRDefault="00580BB0" w:rsidP="00A44022">
            <w:r>
              <w:t xml:space="preserve">Many </w:t>
            </w:r>
            <w:r w:rsidR="00444C55">
              <w:t>l</w:t>
            </w:r>
            <w:r>
              <w:t xml:space="preserve">ocal </w:t>
            </w:r>
            <w:r w:rsidR="00444C55">
              <w:t>a</w:t>
            </w:r>
            <w:r>
              <w:t xml:space="preserve">uthorities or CDEM Groups have gone to some considerable effort to define and map tsunami (and storm surge) hazard areas, based on recognised research and modelling. The guidance provided in this document is expected to accommodate any existing tsunami hazard maps and to support the communication of evacuation information in a consistent manner nationally. </w:t>
            </w:r>
          </w:p>
        </w:tc>
      </w:tr>
      <w:tr w:rsidR="00953989" w:rsidTr="00580BB0">
        <w:tc>
          <w:tcPr>
            <w:tcW w:w="1928" w:type="dxa"/>
            <w:tcMar>
              <w:right w:w="227" w:type="dxa"/>
            </w:tcMar>
          </w:tcPr>
          <w:p w:rsidR="00953989" w:rsidRPr="00CF5073" w:rsidRDefault="00953989" w:rsidP="00A44022">
            <w:pPr>
              <w:pStyle w:val="LHcolumn"/>
            </w:pPr>
          </w:p>
        </w:tc>
        <w:tc>
          <w:tcPr>
            <w:tcW w:w="7711" w:type="dxa"/>
          </w:tcPr>
          <w:p w:rsidR="00953989" w:rsidRDefault="00953989" w:rsidP="00A44022">
            <w:r>
              <w:t>The recommendations presented here aim to be, wherever possible, compatible with the content and methodology of any existing hazard zones.</w:t>
            </w:r>
          </w:p>
          <w:p w:rsidR="00953989" w:rsidRDefault="00953989" w:rsidP="00A44022">
            <w:r>
              <w:t>In some cases, existing zones will be aiming to cover the maximum credible event tsunami, in which case these would be drawn under the guidelines as the Yellow Zone. In other cases, existing zones will be aiming to only cover distant-source tsunami. If only one or the other currently exists, it is recommended that the complementary zone is included and a Red Zone (the marine and beach exclusion zone) added.</w:t>
            </w:r>
          </w:p>
          <w:p w:rsidR="00953989" w:rsidRDefault="00953989" w:rsidP="00A44022">
            <w:pPr>
              <w:pStyle w:val="Spacer"/>
            </w:pPr>
          </w:p>
        </w:tc>
      </w:tr>
      <w:tr w:rsidR="00580BB0" w:rsidTr="00580BB0">
        <w:tc>
          <w:tcPr>
            <w:tcW w:w="1928" w:type="dxa"/>
            <w:tcMar>
              <w:right w:w="227" w:type="dxa"/>
            </w:tcMar>
          </w:tcPr>
          <w:p w:rsidR="00580BB0" w:rsidRPr="00CF5073" w:rsidRDefault="00580BB0" w:rsidP="00A44022">
            <w:pPr>
              <w:pStyle w:val="LHcolumn"/>
            </w:pPr>
            <w:r>
              <w:t>Change over time</w:t>
            </w:r>
          </w:p>
        </w:tc>
        <w:tc>
          <w:tcPr>
            <w:tcW w:w="7711" w:type="dxa"/>
          </w:tcPr>
          <w:p w:rsidR="00E41345" w:rsidRDefault="00580BB0" w:rsidP="00A44022">
            <w:r w:rsidRPr="00580BB0">
              <w:t xml:space="preserve">Factors unique to an area that may impact on planning arrangements must also be carefully identified and taken into account. Consideration should be given to how the natural, built, social, and economic components of a community might be expected to change over the medium to long term. Examples include the potential for sea level rise and increased storm activity through climate change, or increases in the number of </w:t>
            </w:r>
            <w:r w:rsidR="00AD4B17">
              <w:t xml:space="preserve">elderly </w:t>
            </w:r>
            <w:r w:rsidRPr="00580BB0">
              <w:t xml:space="preserve">people living </w:t>
            </w:r>
            <w:r w:rsidR="00F9069D">
              <w:t xml:space="preserve">within a </w:t>
            </w:r>
            <w:r w:rsidRPr="00580BB0">
              <w:t>coastal area.</w:t>
            </w:r>
          </w:p>
        </w:tc>
      </w:tr>
    </w:tbl>
    <w:p w:rsidR="00953989" w:rsidRDefault="00953989" w:rsidP="00A44022"/>
    <w:p w:rsidR="00580BB0" w:rsidRDefault="00580BB0" w:rsidP="00A44022">
      <w:pPr>
        <w:pStyle w:val="Heading2"/>
      </w:pPr>
      <w:bookmarkStart w:id="51" w:name="_Toc443381817"/>
      <w:r>
        <w:t xml:space="preserve">Wave </w:t>
      </w:r>
      <w:r w:rsidR="00721D6A">
        <w:t xml:space="preserve">amplitude </w:t>
      </w:r>
      <w:r w:rsidR="00E153EF">
        <w:t xml:space="preserve">and </w:t>
      </w:r>
      <w:r w:rsidR="00721D6A">
        <w:t>sea level</w:t>
      </w:r>
      <w:bookmarkEnd w:id="51"/>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580BB0" w:rsidTr="00580BB0">
        <w:tc>
          <w:tcPr>
            <w:tcW w:w="1928" w:type="dxa"/>
            <w:tcMar>
              <w:right w:w="227" w:type="dxa"/>
            </w:tcMar>
          </w:tcPr>
          <w:p w:rsidR="00580BB0" w:rsidRPr="00CF5073" w:rsidRDefault="00580BB0" w:rsidP="00A44022">
            <w:pPr>
              <w:pStyle w:val="LHcolumn"/>
            </w:pPr>
          </w:p>
        </w:tc>
        <w:tc>
          <w:tcPr>
            <w:tcW w:w="7711" w:type="dxa"/>
          </w:tcPr>
          <w:p w:rsidR="00E153EF" w:rsidRDefault="00E153EF" w:rsidP="00A44022">
            <w:r w:rsidRPr="00E153EF">
              <w:t>The term ‘wave amplitude’ is used here rather than ‘wave height’, as in some disciplines ‘wave height’ is measured from ‘peak to trough’ instead of ‘zero to peak’. In this guideline, ‘wave amplitude’ is the rise in water level relative to the background level (‘zero to peak’).</w:t>
            </w:r>
            <w:r>
              <w:t xml:space="preserve"> </w:t>
            </w:r>
          </w:p>
          <w:p w:rsidR="00E153EF" w:rsidRDefault="00E657CC" w:rsidP="00A44022">
            <w:r w:rsidRPr="00E657CC">
              <w:t>The</w:t>
            </w:r>
            <w:r>
              <w:rPr>
                <w:b/>
              </w:rPr>
              <w:t xml:space="preserve"> </w:t>
            </w:r>
            <w:r w:rsidR="00D61EBB">
              <w:rPr>
                <w:b/>
              </w:rPr>
              <w:t>w</w:t>
            </w:r>
            <w:r w:rsidR="00580BB0" w:rsidRPr="00580BB0">
              <w:rPr>
                <w:b/>
              </w:rPr>
              <w:t xml:space="preserve">ave </w:t>
            </w:r>
            <w:r w:rsidR="00E153EF">
              <w:rPr>
                <w:b/>
              </w:rPr>
              <w:t>amplitude</w:t>
            </w:r>
            <w:r w:rsidR="00E153EF" w:rsidRPr="00580BB0">
              <w:t xml:space="preserve"> </w:t>
            </w:r>
            <w:r w:rsidR="00580BB0" w:rsidRPr="00580BB0">
              <w:t xml:space="preserve">used </w:t>
            </w:r>
            <w:r w:rsidR="00E153EF">
              <w:t xml:space="preserve">to define evacuation zones </w:t>
            </w:r>
            <w:r w:rsidR="00580BB0" w:rsidRPr="00580BB0">
              <w:t xml:space="preserve">must be </w:t>
            </w:r>
            <w:r>
              <w:t xml:space="preserve">the </w:t>
            </w:r>
            <w:r w:rsidR="00580BB0" w:rsidRPr="00580BB0">
              <w:t xml:space="preserve">wave </w:t>
            </w:r>
            <w:r w:rsidR="00E153EF">
              <w:t xml:space="preserve">amplitude </w:t>
            </w:r>
            <w:r w:rsidR="00580BB0" w:rsidRPr="00580BB0">
              <w:t>at shore, offshore</w:t>
            </w:r>
            <w:r w:rsidR="00E153EF">
              <w:t>.</w:t>
            </w:r>
          </w:p>
          <w:p w:rsidR="00580BB0" w:rsidRDefault="00580BB0" w:rsidP="00A44022">
            <w:r w:rsidRPr="00580BB0">
              <w:t xml:space="preserve">Run-up could be twice as high </w:t>
            </w:r>
            <w:r w:rsidR="00E153EF">
              <w:t xml:space="preserve">as the wave amplitude </w:t>
            </w:r>
            <w:r w:rsidRPr="00580BB0">
              <w:t>on steep, low-</w:t>
            </w:r>
            <w:r>
              <w:t>friction slopes near the coast</w:t>
            </w:r>
            <w:r w:rsidR="00E153EF">
              <w:t>, and we cannot be sure what tide state the largest amplitudes will arrive on</w:t>
            </w:r>
          </w:p>
          <w:p w:rsidR="00E657CC" w:rsidRPr="00154ACB" w:rsidRDefault="00580BB0" w:rsidP="00A44022">
            <w:pPr>
              <w:rPr>
                <w:b/>
              </w:rPr>
            </w:pPr>
            <w:r w:rsidRPr="00580BB0">
              <w:rPr>
                <w:b/>
              </w:rPr>
              <w:t>Thus, evacuation zones should be based on an elevation at the coast</w:t>
            </w:r>
            <w:r w:rsidR="00154ACB">
              <w:rPr>
                <w:b/>
              </w:rPr>
              <w:t>,</w:t>
            </w:r>
            <w:r w:rsidRPr="00580BB0">
              <w:rPr>
                <w:b/>
              </w:rPr>
              <w:t xml:space="preserve"> which is twice the predicted offshore wave </w:t>
            </w:r>
            <w:r w:rsidR="00E153EF">
              <w:rPr>
                <w:b/>
              </w:rPr>
              <w:t>amplitude</w:t>
            </w:r>
            <w:r w:rsidR="00E153EF" w:rsidRPr="00E153EF">
              <w:rPr>
                <w:b/>
              </w:rPr>
              <w:t>, above Mean High Water Spring (MHWS)</w:t>
            </w:r>
            <w:r w:rsidRPr="00E153EF">
              <w:t>.</w:t>
            </w:r>
          </w:p>
        </w:tc>
      </w:tr>
    </w:tbl>
    <w:p w:rsidR="00953989" w:rsidRDefault="00953989" w:rsidP="00A44022"/>
    <w:p w:rsidR="00580BB0" w:rsidRDefault="00580BB0" w:rsidP="00A44022">
      <w:pPr>
        <w:pStyle w:val="Heading2"/>
      </w:pPr>
      <w:bookmarkStart w:id="52" w:name="_Toc443381818"/>
      <w:r>
        <w:t xml:space="preserve">Vertical </w:t>
      </w:r>
      <w:r w:rsidR="00721D6A">
        <w:t>evacuation</w:t>
      </w:r>
      <w:bookmarkEnd w:id="52"/>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953989" w:rsidTr="00580BB0">
        <w:tc>
          <w:tcPr>
            <w:tcW w:w="1928" w:type="dxa"/>
            <w:tcMar>
              <w:right w:w="227" w:type="dxa"/>
            </w:tcMar>
          </w:tcPr>
          <w:p w:rsidR="00953989" w:rsidRPr="00CF5073" w:rsidRDefault="00953989" w:rsidP="00A44022">
            <w:pPr>
              <w:pStyle w:val="LHcolumn"/>
            </w:pPr>
          </w:p>
        </w:tc>
        <w:tc>
          <w:tcPr>
            <w:tcW w:w="7711" w:type="dxa"/>
          </w:tcPr>
          <w:p w:rsidR="00953989" w:rsidRPr="00580BB0" w:rsidRDefault="00953989" w:rsidP="00A44022">
            <w:r w:rsidRPr="00580BB0">
              <w:t>Vertical evacuation options</w:t>
            </w:r>
            <w:r>
              <w:t xml:space="preserve"> defined as </w:t>
            </w:r>
            <w:r w:rsidRPr="00580BB0">
              <w:t xml:space="preserve">evacuation to upper floors or </w:t>
            </w:r>
            <w:r>
              <w:t xml:space="preserve">the </w:t>
            </w:r>
            <w:r w:rsidRPr="00580BB0">
              <w:t xml:space="preserve">roof of mid to high rise buildings or purpose-built structures </w:t>
            </w:r>
            <w:r>
              <w:t>(</w:t>
            </w:r>
            <w:r w:rsidRPr="00580BB0">
              <w:t>e.</w:t>
            </w:r>
            <w:r>
              <w:t>g.</w:t>
            </w:r>
            <w:r w:rsidRPr="00580BB0">
              <w:t xml:space="preserve"> </w:t>
            </w:r>
            <w:r>
              <w:t xml:space="preserve">platforms, </w:t>
            </w:r>
            <w:r w:rsidRPr="00580BB0">
              <w:t>towers</w:t>
            </w:r>
            <w:r>
              <w:t xml:space="preserve"> or protected raised land</w:t>
            </w:r>
            <w:r w:rsidRPr="00580BB0">
              <w:t>, within the evacuation zone)</w:t>
            </w:r>
            <w:r>
              <w:t>,</w:t>
            </w:r>
            <w:r w:rsidRPr="00580BB0">
              <w:t xml:space="preserve"> should be considered where the distance to high ground is large enough to preclude effective evacuation before tsunami wave arrival. Options </w:t>
            </w:r>
            <w:r>
              <w:t>must</w:t>
            </w:r>
            <w:r w:rsidRPr="00580BB0">
              <w:t xml:space="preserve"> be considered on a local basis, and supported by more detailed evacuation travel-time modelling. Where implemented, vertical evacuation </w:t>
            </w:r>
            <w:r>
              <w:t>structures</w:t>
            </w:r>
            <w:r w:rsidRPr="00580BB0">
              <w:t xml:space="preserve"> should be indicated on tsunami evacuation maps and supported with signage on the </w:t>
            </w:r>
            <w:r>
              <w:t>structure</w:t>
            </w:r>
            <w:r w:rsidRPr="00580BB0">
              <w:t xml:space="preserve"> and </w:t>
            </w:r>
            <w:r>
              <w:t>the designated</w:t>
            </w:r>
            <w:r w:rsidRPr="00580BB0">
              <w:t xml:space="preserve"> evacuation routes</w:t>
            </w:r>
            <w:r>
              <w:t xml:space="preserve"> to the structure</w:t>
            </w:r>
            <w:r w:rsidRPr="00580BB0">
              <w:t>.</w:t>
            </w:r>
          </w:p>
        </w:tc>
      </w:tr>
      <w:tr w:rsidR="00580BB0" w:rsidTr="00580BB0">
        <w:tc>
          <w:tcPr>
            <w:tcW w:w="1928" w:type="dxa"/>
            <w:tcMar>
              <w:right w:w="227" w:type="dxa"/>
            </w:tcMar>
          </w:tcPr>
          <w:p w:rsidR="00580BB0" w:rsidRPr="00CF5073" w:rsidRDefault="00580BB0" w:rsidP="00A44022">
            <w:pPr>
              <w:pStyle w:val="LHcolumn"/>
            </w:pPr>
          </w:p>
        </w:tc>
        <w:tc>
          <w:tcPr>
            <w:tcW w:w="7711" w:type="dxa"/>
          </w:tcPr>
          <w:p w:rsidR="00580BB0" w:rsidRPr="00580BB0" w:rsidRDefault="00580BB0" w:rsidP="00A44022">
            <w:r w:rsidRPr="00580BB0">
              <w:t>A large number of multi-storey</w:t>
            </w:r>
            <w:r w:rsidR="00E657CC">
              <w:t>,</w:t>
            </w:r>
            <w:r w:rsidRPr="00580BB0">
              <w:t xml:space="preserve"> reinforced-concrete</w:t>
            </w:r>
            <w:r w:rsidR="00E657CC">
              <w:t>,</w:t>
            </w:r>
            <w:r w:rsidRPr="00580BB0">
              <w:t xml:space="preserve"> vertical evacuation buildings provided safe refuge to thousands of people during and immediately after the </w:t>
            </w:r>
            <w:r w:rsidR="00C70758">
              <w:t xml:space="preserve">2011 </w:t>
            </w:r>
            <w:r w:rsidRPr="00580BB0">
              <w:t xml:space="preserve">Great East Japan tsunami (Fraser et al., 2012). </w:t>
            </w:r>
            <w:r w:rsidR="00F02090">
              <w:t>However, v</w:t>
            </w:r>
            <w:r w:rsidRPr="00580BB0">
              <w:t xml:space="preserve">ertical evacuation </w:t>
            </w:r>
            <w:r w:rsidR="00F02090">
              <w:t xml:space="preserve">structures </w:t>
            </w:r>
            <w:r w:rsidRPr="00580BB0">
              <w:t xml:space="preserve">should be a secondary option to seeking refuge outside of the evacuation zone </w:t>
            </w:r>
            <w:r w:rsidR="00F02090">
              <w:t>(</w:t>
            </w:r>
            <w:r w:rsidRPr="00580BB0">
              <w:t>i.e.</w:t>
            </w:r>
            <w:r w:rsidR="00F02090">
              <w:t xml:space="preserve"> </w:t>
            </w:r>
            <w:r w:rsidRPr="00580BB0">
              <w:t>high ground or inland</w:t>
            </w:r>
            <w:r w:rsidR="00F02090">
              <w:t xml:space="preserve"> areas)</w:t>
            </w:r>
            <w:r w:rsidRPr="00580BB0">
              <w:t xml:space="preserve">. The </w:t>
            </w:r>
            <w:r w:rsidR="00F02090">
              <w:t>designation</w:t>
            </w:r>
            <w:r w:rsidR="00F02090" w:rsidRPr="00580BB0">
              <w:t xml:space="preserve"> </w:t>
            </w:r>
            <w:r w:rsidRPr="00580BB0">
              <w:t xml:space="preserve">of </w:t>
            </w:r>
            <w:r w:rsidR="00F02090">
              <w:t xml:space="preserve">a </w:t>
            </w:r>
            <w:r w:rsidRPr="00580BB0">
              <w:t>safe storey</w:t>
            </w:r>
            <w:r w:rsidR="00F02090">
              <w:t xml:space="preserve"> height</w:t>
            </w:r>
            <w:r w:rsidRPr="00580BB0">
              <w:t xml:space="preserve"> should be based on the maximum tsunami depth plus a factor of safety</w:t>
            </w:r>
            <w:r w:rsidR="00F02090">
              <w:t>.</w:t>
            </w:r>
            <w:r w:rsidRPr="00580BB0">
              <w:t xml:space="preserve"> </w:t>
            </w:r>
            <w:r w:rsidR="00C70758">
              <w:t>T</w:t>
            </w:r>
            <w:r w:rsidRPr="00580BB0">
              <w:t xml:space="preserve">here </w:t>
            </w:r>
            <w:r w:rsidR="00C70758">
              <w:t xml:space="preserve">still </w:t>
            </w:r>
            <w:r w:rsidRPr="00580BB0">
              <w:t>remain</w:t>
            </w:r>
            <w:r w:rsidR="00F02090">
              <w:t>s a</w:t>
            </w:r>
            <w:r w:rsidRPr="00580BB0">
              <w:t xml:space="preserve"> risk of isolation in floodwater and debris for hours (and days) after an event, and there </w:t>
            </w:r>
            <w:r w:rsidR="00F02090">
              <w:t>is also the added</w:t>
            </w:r>
            <w:r w:rsidR="00F02090" w:rsidRPr="00580BB0">
              <w:t xml:space="preserve"> </w:t>
            </w:r>
            <w:r w:rsidRPr="00580BB0">
              <w:t>risk of fire to vertical evacuation buildings due to floating debris.</w:t>
            </w:r>
          </w:p>
          <w:p w:rsidR="00C70758" w:rsidRDefault="00580BB0" w:rsidP="00A44022">
            <w:r w:rsidRPr="00580BB0">
              <w:t xml:space="preserve">A building used for evacuation </w:t>
            </w:r>
            <w:r w:rsidR="00C70758">
              <w:t xml:space="preserve">purposes </w:t>
            </w:r>
            <w:r w:rsidRPr="00580BB0">
              <w:t xml:space="preserve">must be built to withstand a local subduction zone earthquake and retain sufficient capacity to act as a safe refuge during </w:t>
            </w:r>
            <w:r w:rsidR="00C70758">
              <w:t>a</w:t>
            </w:r>
            <w:r w:rsidR="00C70758" w:rsidRPr="00580BB0">
              <w:t xml:space="preserve"> </w:t>
            </w:r>
            <w:r w:rsidRPr="00580BB0">
              <w:t xml:space="preserve">tsunami. Therefore, any proposed building should be designed according to, or assessed against, guidelines for tsunami-resistant construction. </w:t>
            </w:r>
          </w:p>
          <w:p w:rsidR="00C70758" w:rsidRDefault="00580BB0" w:rsidP="00A44022">
            <w:r w:rsidRPr="00580BB0">
              <w:t xml:space="preserve">There are currently two non-mandatory tsunami design guidelines available internationally. The most recently updated guidelines available are the United States Federal Emergency Management Agency (FEMA) P646 Guidelines for Design of Structures for Vertical Evacuation from Tsunamis, updated in 2012 with observations from Japan (FEMA, 2012) – originally published in 2008 (FEMA 2008, 2009). Structural damage data from the </w:t>
            </w:r>
            <w:r w:rsidR="00C70758">
              <w:t xml:space="preserve">2011 </w:t>
            </w:r>
            <w:r w:rsidRPr="00580BB0">
              <w:t>Great East Japan tsunami are being used by the</w:t>
            </w:r>
            <w:r w:rsidR="00BB7454">
              <w:t xml:space="preserve"> American Society of Civil Engineers (</w:t>
            </w:r>
            <w:r w:rsidRPr="00580BB0">
              <w:t>ASCE</w:t>
            </w:r>
            <w:r w:rsidR="00BB7454">
              <w:t xml:space="preserve">) </w:t>
            </w:r>
            <w:r w:rsidRPr="00580BB0">
              <w:t>Tsunami Loads and Effects Subcommittee to generate new tsunami loading guidelines for structures, which would be included in the ASCE 7 codes in 2016 and implemented in the</w:t>
            </w:r>
            <w:r w:rsidR="00BB7454">
              <w:t xml:space="preserve"> International Building Code</w:t>
            </w:r>
            <w:r w:rsidRPr="00580BB0">
              <w:t xml:space="preserve"> </w:t>
            </w:r>
            <w:r w:rsidR="00BB7454">
              <w:t>(</w:t>
            </w:r>
            <w:r w:rsidRPr="00580BB0">
              <w:t>IBC</w:t>
            </w:r>
            <w:r w:rsidR="00BB7454">
              <w:t>)</w:t>
            </w:r>
            <w:r w:rsidRPr="00580BB0">
              <w:t xml:space="preserve"> in 2018 or 2021. The guidelines will present both a simple method and a site-specific method to calculate tsunami flow depth and velocity at a site. Structural measures to reduce loads will be presented, as will be prescriptive foundation design</w:t>
            </w:r>
            <w:r w:rsidR="00F02090">
              <w:t>s</w:t>
            </w:r>
            <w:r w:rsidRPr="00580BB0">
              <w:t xml:space="preserve"> to resist scour. </w:t>
            </w:r>
          </w:p>
          <w:p w:rsidR="00580BB0" w:rsidRPr="00580BB0" w:rsidRDefault="00580BB0" w:rsidP="00A44022">
            <w:r w:rsidRPr="00580BB0">
              <w:t xml:space="preserve">A review of </w:t>
            </w:r>
            <w:r w:rsidR="00C70758">
              <w:t xml:space="preserve">the </w:t>
            </w:r>
            <w:r w:rsidRPr="00580BB0">
              <w:t>Japanese Government Guideline for Tsunami Evacuation Buildings (Cabinet Office Government of Japan, 2005) is also underway, based on data from the 2011 tsunami.</w:t>
            </w:r>
          </w:p>
          <w:p w:rsidR="00F02090" w:rsidRDefault="00580BB0" w:rsidP="00A44022">
            <w:r w:rsidRPr="00580BB0">
              <w:t>These guidelines consider multiple effects of tsunami wave forces on structures. Formulae and example calculations are provided to demonstrate the use of the guidelines in relation to tsunami flow depth and flow velocity. The guidelines provide attributes of tsunami-resistant structures and structural components, including</w:t>
            </w:r>
            <w:r w:rsidR="00474E6C">
              <w:t>:</w:t>
            </w:r>
          </w:p>
          <w:p w:rsidR="00F02090" w:rsidRDefault="00245F97" w:rsidP="00245F97">
            <w:pPr>
              <w:pStyle w:val="Bullet"/>
            </w:pPr>
            <w:r>
              <w:t>s</w:t>
            </w:r>
            <w:r w:rsidRPr="00580BB0">
              <w:t xml:space="preserve">trong </w:t>
            </w:r>
            <w:r w:rsidR="00580BB0" w:rsidRPr="00580BB0">
              <w:t>systems with reserve capacity to resist extreme forces</w:t>
            </w:r>
          </w:p>
          <w:p w:rsidR="00F02090" w:rsidRDefault="00245F97" w:rsidP="00245F97">
            <w:pPr>
              <w:pStyle w:val="Bullet"/>
            </w:pPr>
            <w:r>
              <w:t>o</w:t>
            </w:r>
            <w:r w:rsidRPr="00580BB0">
              <w:t xml:space="preserve">pen </w:t>
            </w:r>
            <w:r w:rsidR="00580BB0" w:rsidRPr="00580BB0">
              <w:t>systems to allow water to flow through the ground floor to resist forces without failure</w:t>
            </w:r>
          </w:p>
          <w:p w:rsidR="00F02090" w:rsidRDefault="00245F97" w:rsidP="00245F97">
            <w:pPr>
              <w:pStyle w:val="Bullet"/>
            </w:pPr>
            <w:r>
              <w:t>r</w:t>
            </w:r>
            <w:r w:rsidRPr="00580BB0">
              <w:t xml:space="preserve">edundancy </w:t>
            </w:r>
            <w:r w:rsidR="00580BB0" w:rsidRPr="00580BB0">
              <w:t>to allow partial failure without progressive collapse</w:t>
            </w:r>
          </w:p>
          <w:p w:rsidR="00F02090" w:rsidRDefault="00245F97" w:rsidP="00245F97">
            <w:pPr>
              <w:pStyle w:val="Bullet"/>
            </w:pPr>
            <w:r>
              <w:t>c</w:t>
            </w:r>
            <w:r w:rsidRPr="00580BB0">
              <w:t xml:space="preserve">ircular </w:t>
            </w:r>
            <w:r w:rsidR="00580BB0" w:rsidRPr="00580BB0">
              <w:t>columns designed to reduce and withstand lateral wave loads</w:t>
            </w:r>
          </w:p>
          <w:p w:rsidR="00F02090" w:rsidRDefault="00245F97" w:rsidP="00245F97">
            <w:pPr>
              <w:pStyle w:val="Bullet"/>
            </w:pPr>
            <w:r>
              <w:t>p</w:t>
            </w:r>
            <w:r w:rsidRPr="00580BB0">
              <w:t xml:space="preserve">lan </w:t>
            </w:r>
            <w:r w:rsidR="00580BB0" w:rsidRPr="00580BB0">
              <w:t>the orientation of shear walls to minimise load</w:t>
            </w:r>
            <w:r>
              <w:t>, and</w:t>
            </w:r>
          </w:p>
          <w:p w:rsidR="00580BB0" w:rsidRPr="00580BB0" w:rsidRDefault="00245F97" w:rsidP="00245F97">
            <w:pPr>
              <w:pStyle w:val="Bullet"/>
            </w:pPr>
            <w:proofErr w:type="gramStart"/>
            <w:r>
              <w:t>f</w:t>
            </w:r>
            <w:r w:rsidRPr="00580BB0">
              <w:t>loor</w:t>
            </w:r>
            <w:proofErr w:type="gramEnd"/>
            <w:r w:rsidRPr="00580BB0">
              <w:t xml:space="preserve"> </w:t>
            </w:r>
            <w:r w:rsidR="00580BB0" w:rsidRPr="00580BB0">
              <w:t>systems designed to reduce buoyant forces.</w:t>
            </w:r>
          </w:p>
        </w:tc>
      </w:tr>
    </w:tbl>
    <w:p w:rsidR="00580BB0" w:rsidRDefault="00580BB0" w:rsidP="00A44022">
      <w:pPr>
        <w:pStyle w:val="Heading1"/>
        <w:spacing w:after="120"/>
      </w:pPr>
      <w:bookmarkStart w:id="53" w:name="_Toc443381819"/>
      <w:r>
        <w:lastRenderedPageBreak/>
        <w:t xml:space="preserve">Triggering </w:t>
      </w:r>
      <w:r w:rsidR="00721D6A">
        <w:t>evacuations</w:t>
      </w:r>
      <w:bookmarkEnd w:id="53"/>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580BB0" w:rsidTr="00580BB0">
        <w:tc>
          <w:tcPr>
            <w:tcW w:w="1928" w:type="dxa"/>
            <w:tcMar>
              <w:right w:w="227" w:type="dxa"/>
            </w:tcMar>
          </w:tcPr>
          <w:p w:rsidR="00580BB0" w:rsidRPr="00CF5073" w:rsidRDefault="00580BB0" w:rsidP="00A44022">
            <w:pPr>
              <w:pStyle w:val="LHcolumn"/>
            </w:pPr>
          </w:p>
        </w:tc>
        <w:tc>
          <w:tcPr>
            <w:tcW w:w="7711" w:type="dxa"/>
          </w:tcPr>
          <w:p w:rsidR="00580BB0" w:rsidRDefault="00580BB0" w:rsidP="00A44022">
            <w:r>
              <w:t xml:space="preserve">This section provides </w:t>
            </w:r>
            <w:r w:rsidR="00EA250F">
              <w:t>information</w:t>
            </w:r>
            <w:r>
              <w:t xml:space="preserve"> for triggering evacuations</w:t>
            </w:r>
            <w:r w:rsidR="00EA250F">
              <w:t xml:space="preserve"> based on tsunami warnings</w:t>
            </w:r>
            <w:r w:rsidRPr="009575D3">
              <w:t>.</w:t>
            </w:r>
          </w:p>
          <w:p w:rsidR="00953989" w:rsidRPr="00253B3D" w:rsidRDefault="00953989" w:rsidP="00A44022">
            <w:pPr>
              <w:pStyle w:val="Spacer"/>
            </w:pPr>
          </w:p>
        </w:tc>
      </w:tr>
      <w:tr w:rsidR="00866F4F" w:rsidTr="00DB32E7">
        <w:tc>
          <w:tcPr>
            <w:tcW w:w="1928" w:type="dxa"/>
            <w:tcMar>
              <w:right w:w="227" w:type="dxa"/>
            </w:tcMar>
          </w:tcPr>
          <w:p w:rsidR="00866F4F" w:rsidRPr="00CF5073" w:rsidRDefault="00866F4F" w:rsidP="00A44022">
            <w:pPr>
              <w:pStyle w:val="LHcolumn"/>
            </w:pPr>
            <w:r>
              <w:t xml:space="preserve">Warning </w:t>
            </w:r>
            <w:r w:rsidR="00721D6A">
              <w:t>types</w:t>
            </w:r>
          </w:p>
        </w:tc>
        <w:tc>
          <w:tcPr>
            <w:tcW w:w="7711" w:type="dxa"/>
          </w:tcPr>
          <w:p w:rsidR="00866F4F" w:rsidRDefault="00866F4F" w:rsidP="00A44022">
            <w:r>
              <w:t>Evacuations are triggered by two main types of warning:</w:t>
            </w:r>
          </w:p>
          <w:p w:rsidR="00866F4F" w:rsidRDefault="00866F4F" w:rsidP="00A44022">
            <w:pPr>
              <w:pStyle w:val="ListParagraph"/>
              <w:numPr>
                <w:ilvl w:val="0"/>
                <w:numId w:val="21"/>
              </w:numPr>
              <w:contextualSpacing w:val="0"/>
            </w:pPr>
            <w:r>
              <w:t>Natural – in which case all zones are evacuated (see ‘Education and Exercises’ in the following section)</w:t>
            </w:r>
          </w:p>
          <w:p w:rsidR="00866F4F" w:rsidRDefault="00866F4F" w:rsidP="00A44022">
            <w:pPr>
              <w:pStyle w:val="ListParagraph"/>
              <w:numPr>
                <w:ilvl w:val="0"/>
                <w:numId w:val="21"/>
              </w:numPr>
              <w:contextualSpacing w:val="0"/>
            </w:pPr>
            <w:r>
              <w:t xml:space="preserve">Official – in which case </w:t>
            </w:r>
            <w:r w:rsidR="00A1514D">
              <w:t xml:space="preserve">local </w:t>
            </w:r>
            <w:r>
              <w:t>warning</w:t>
            </w:r>
            <w:r w:rsidR="00402A3E">
              <w:t>s</w:t>
            </w:r>
            <w:r>
              <w:t xml:space="preserve"> will state the zone(s) to be evacuated.</w:t>
            </w:r>
          </w:p>
          <w:p w:rsidR="00866F4F" w:rsidRDefault="00866F4F" w:rsidP="00A44022">
            <w:r>
              <w:t xml:space="preserve">Official evacuations of the general public are authorised by </w:t>
            </w:r>
            <w:r w:rsidR="00A1352D">
              <w:t>l</w:t>
            </w:r>
            <w:r>
              <w:t xml:space="preserve">ocal </w:t>
            </w:r>
            <w:r w:rsidR="00A1352D">
              <w:t>a</w:t>
            </w:r>
            <w:r>
              <w:t xml:space="preserve">uthorities.  They base their decision to evacuate communities on </w:t>
            </w:r>
            <w:r w:rsidR="0091368A">
              <w:t>a National T</w:t>
            </w:r>
            <w:r>
              <w:t xml:space="preserve">sunami </w:t>
            </w:r>
            <w:r w:rsidR="0091368A">
              <w:t>W</w:t>
            </w:r>
            <w:r>
              <w:t xml:space="preserve">arning or </w:t>
            </w:r>
            <w:r w:rsidR="0091368A">
              <w:t>P</w:t>
            </w:r>
            <w:r>
              <w:t xml:space="preserve">otential </w:t>
            </w:r>
            <w:r w:rsidR="0091368A">
              <w:t>T</w:t>
            </w:r>
            <w:r>
              <w:t xml:space="preserve">hreat </w:t>
            </w:r>
            <w:r w:rsidR="0091368A">
              <w:t>National A</w:t>
            </w:r>
            <w:r>
              <w:t>dvisor</w:t>
            </w:r>
            <w:r w:rsidR="0091368A">
              <w:t>y</w:t>
            </w:r>
            <w:r>
              <w:t xml:space="preserve"> issued by the Ministry of Civil Defence &amp; Emergency Management (MCDEM) in conjunction with their own local threat assessment, plans and standard operating procedures</w:t>
            </w:r>
            <w:r w:rsidR="0091368A">
              <w:t xml:space="preserve"> (SOPs)</w:t>
            </w:r>
            <w:r>
              <w:t>.</w:t>
            </w:r>
          </w:p>
          <w:p w:rsidR="00866F4F" w:rsidRDefault="00866F4F" w:rsidP="00A44022">
            <w:r>
              <w:t xml:space="preserve">The process and responsibilities for tsunami warnings are described in the </w:t>
            </w:r>
            <w:r w:rsidR="0091368A" w:rsidRPr="00B8432F">
              <w:rPr>
                <w:i/>
              </w:rPr>
              <w:t xml:space="preserve">National </w:t>
            </w:r>
            <w:r w:rsidRPr="00B8432F">
              <w:rPr>
                <w:i/>
              </w:rPr>
              <w:t xml:space="preserve">Tsunami Advisory and Warning Plan </w:t>
            </w:r>
            <w:r w:rsidR="00202596" w:rsidRPr="00B8432F">
              <w:rPr>
                <w:i/>
              </w:rPr>
              <w:t>[SP01/09]</w:t>
            </w:r>
            <w:r w:rsidR="00202596">
              <w:t xml:space="preserve"> </w:t>
            </w:r>
            <w:r>
              <w:t>(MCDEM, 200</w:t>
            </w:r>
            <w:r w:rsidR="00202596">
              <w:t>14</w:t>
            </w:r>
            <w:r>
              <w:t>)</w:t>
            </w:r>
            <w:r w:rsidR="00202596">
              <w:t>.</w:t>
            </w:r>
            <w:r>
              <w:t xml:space="preserve"> </w:t>
            </w:r>
          </w:p>
          <w:p w:rsidR="00866F4F" w:rsidRDefault="00866F4F" w:rsidP="00A44022">
            <w:r>
              <w:t>The National Tsunami Warning and Advisory Plan provides for the following New Zealand threat levels.</w:t>
            </w:r>
          </w:p>
          <w:p w:rsidR="00953989" w:rsidRPr="00253B3D" w:rsidRDefault="00953989" w:rsidP="00A44022">
            <w:pPr>
              <w:pStyle w:val="Spacer"/>
            </w:pPr>
          </w:p>
        </w:tc>
      </w:tr>
      <w:tr w:rsidR="00866F4F" w:rsidTr="00DB32E7">
        <w:tc>
          <w:tcPr>
            <w:tcW w:w="1928" w:type="dxa"/>
            <w:tcMar>
              <w:right w:w="227" w:type="dxa"/>
            </w:tcMar>
          </w:tcPr>
          <w:p w:rsidR="00866F4F" w:rsidRPr="00CF5073" w:rsidRDefault="00866F4F" w:rsidP="00A44022">
            <w:pPr>
              <w:pStyle w:val="LHcolumn"/>
            </w:pPr>
            <w:r>
              <w:t xml:space="preserve">Threat </w:t>
            </w:r>
            <w:r w:rsidR="00721D6A">
              <w:t>levels</w:t>
            </w:r>
          </w:p>
        </w:tc>
        <w:tc>
          <w:tcPr>
            <w:tcW w:w="7711" w:type="dxa"/>
          </w:tcPr>
          <w:p w:rsidR="00C310D0" w:rsidRDefault="00C310D0" w:rsidP="00A44022">
            <w:pPr>
              <w:rPr>
                <w:highlight w:val="yellow"/>
              </w:rPr>
            </w:pPr>
            <w:r>
              <w:rPr>
                <w:noProof/>
              </w:rPr>
              <w:drawing>
                <wp:inline distT="0" distB="0" distL="0" distR="0" wp14:anchorId="41454A6B" wp14:editId="1A44B235">
                  <wp:extent cx="4389120" cy="17176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89120" cy="1717675"/>
                          </a:xfrm>
                          <a:prstGeom prst="rect">
                            <a:avLst/>
                          </a:prstGeom>
                          <a:noFill/>
                          <a:ln>
                            <a:noFill/>
                          </a:ln>
                        </pic:spPr>
                      </pic:pic>
                    </a:graphicData>
                  </a:graphic>
                </wp:inline>
              </w:drawing>
            </w:r>
          </w:p>
          <w:p w:rsidR="00866F4F" w:rsidRDefault="00866F4F" w:rsidP="00A44022">
            <w:pPr>
              <w:rPr>
                <w:b/>
              </w:rPr>
            </w:pPr>
            <w:r w:rsidRPr="00866F4F">
              <w:rPr>
                <w:b/>
              </w:rPr>
              <w:t xml:space="preserve">It is critical that the size of the Orange </w:t>
            </w:r>
            <w:r w:rsidR="009D5C10">
              <w:rPr>
                <w:b/>
              </w:rPr>
              <w:t>Z</w:t>
            </w:r>
            <w:r w:rsidRPr="00866F4F">
              <w:rPr>
                <w:b/>
              </w:rPr>
              <w:t xml:space="preserve">one matches a threat level (double the threat level above high tide at coast) exactly. </w:t>
            </w:r>
            <w:r w:rsidR="00DA2D11">
              <w:rPr>
                <w:b/>
              </w:rPr>
              <w:t>T</w:t>
            </w:r>
            <w:r w:rsidR="00DA2D11" w:rsidRPr="00866F4F">
              <w:rPr>
                <w:b/>
              </w:rPr>
              <w:t xml:space="preserve">he Red Zone </w:t>
            </w:r>
            <w:r w:rsidR="00DA2D11">
              <w:rPr>
                <w:b/>
              </w:rPr>
              <w:t xml:space="preserve">should be </w:t>
            </w:r>
            <w:r w:rsidR="00DA2D11" w:rsidRPr="00866F4F">
              <w:rPr>
                <w:b/>
              </w:rPr>
              <w:t>set to match the &lt;1m threat level (2m zone height above high tide at coast)</w:t>
            </w:r>
            <w:r w:rsidR="00DA2D11">
              <w:rPr>
                <w:b/>
              </w:rPr>
              <w:t xml:space="preserve"> when drawn based on LiDAR. </w:t>
            </w:r>
            <w:r w:rsidRPr="00866F4F">
              <w:rPr>
                <w:b/>
              </w:rPr>
              <w:t>This allows for certainty for CDEM Group members deciding which zone(s) need to be evacuated based on the threat level in the warning.</w:t>
            </w:r>
          </w:p>
          <w:p w:rsidR="00953989" w:rsidRPr="00866F4F" w:rsidRDefault="00953989" w:rsidP="00A44022">
            <w:pPr>
              <w:pStyle w:val="Spacer"/>
            </w:pPr>
          </w:p>
        </w:tc>
      </w:tr>
      <w:tr w:rsidR="00866F4F" w:rsidTr="00DB32E7">
        <w:tc>
          <w:tcPr>
            <w:tcW w:w="1928" w:type="dxa"/>
            <w:tcMar>
              <w:right w:w="227" w:type="dxa"/>
            </w:tcMar>
          </w:tcPr>
          <w:p w:rsidR="00866F4F" w:rsidRPr="00CF5073" w:rsidRDefault="00866F4F" w:rsidP="00A44022">
            <w:pPr>
              <w:pStyle w:val="LHcolumn"/>
            </w:pPr>
            <w:r>
              <w:t xml:space="preserve">Flow </w:t>
            </w:r>
            <w:r w:rsidR="00721D6A">
              <w:t>diagrams</w:t>
            </w:r>
          </w:p>
        </w:tc>
        <w:tc>
          <w:tcPr>
            <w:tcW w:w="7711" w:type="dxa"/>
          </w:tcPr>
          <w:p w:rsidR="00866F4F" w:rsidRDefault="005542E7" w:rsidP="00A44022">
            <w:pPr>
              <w:rPr>
                <w:rFonts w:cs="Arial"/>
              </w:rPr>
            </w:pPr>
            <w:r>
              <w:rPr>
                <w:rFonts w:cs="Arial"/>
              </w:rPr>
              <w:fldChar w:fldCharType="begin"/>
            </w:r>
            <w:r>
              <w:rPr>
                <w:rFonts w:cs="Arial"/>
              </w:rPr>
              <w:instrText xml:space="preserve"> REF _Ref442785455 \h </w:instrText>
            </w:r>
            <w:r>
              <w:rPr>
                <w:rFonts w:cs="Arial"/>
              </w:rPr>
            </w:r>
            <w:r>
              <w:rPr>
                <w:rFonts w:cs="Arial"/>
              </w:rPr>
              <w:fldChar w:fldCharType="separate"/>
            </w:r>
            <w:r w:rsidR="009B2134" w:rsidRPr="00A44022">
              <w:t xml:space="preserve">Figure </w:t>
            </w:r>
            <w:r w:rsidR="009B2134">
              <w:rPr>
                <w:noProof/>
              </w:rPr>
              <w:t>7</w:t>
            </w:r>
            <w:r>
              <w:rPr>
                <w:rFonts w:cs="Arial"/>
              </w:rPr>
              <w:fldChar w:fldCharType="end"/>
            </w:r>
            <w:r>
              <w:rPr>
                <w:rFonts w:cs="Arial"/>
              </w:rPr>
              <w:t xml:space="preserve"> and </w:t>
            </w:r>
            <w:r>
              <w:rPr>
                <w:rFonts w:cs="Arial"/>
              </w:rPr>
              <w:fldChar w:fldCharType="begin"/>
            </w:r>
            <w:r>
              <w:rPr>
                <w:rFonts w:cs="Arial"/>
              </w:rPr>
              <w:instrText xml:space="preserve"> REF _Ref442785463 \h </w:instrText>
            </w:r>
            <w:r>
              <w:rPr>
                <w:rFonts w:cs="Arial"/>
              </w:rPr>
            </w:r>
            <w:r>
              <w:rPr>
                <w:rFonts w:cs="Arial"/>
              </w:rPr>
              <w:fldChar w:fldCharType="separate"/>
            </w:r>
            <w:r w:rsidR="009B2134" w:rsidRPr="00A44022">
              <w:t xml:space="preserve">Figure </w:t>
            </w:r>
            <w:r w:rsidR="009B2134">
              <w:rPr>
                <w:noProof/>
              </w:rPr>
              <w:t>8</w:t>
            </w:r>
            <w:r>
              <w:rPr>
                <w:rFonts w:cs="Arial"/>
              </w:rPr>
              <w:fldChar w:fldCharType="end"/>
            </w:r>
            <w:r w:rsidR="00866F4F" w:rsidRPr="00866F4F">
              <w:rPr>
                <w:rFonts w:cs="Arial"/>
              </w:rPr>
              <w:t xml:space="preserve"> </w:t>
            </w:r>
            <w:r>
              <w:rPr>
                <w:rFonts w:cs="Arial"/>
              </w:rPr>
              <w:t xml:space="preserve">on the next page </w:t>
            </w:r>
            <w:r w:rsidR="00866F4F" w:rsidRPr="00866F4F">
              <w:rPr>
                <w:rFonts w:cs="Arial"/>
              </w:rPr>
              <w:t xml:space="preserve">give flow diagrams of </w:t>
            </w:r>
            <w:proofErr w:type="spellStart"/>
            <w:r w:rsidR="00866F4F" w:rsidRPr="00866F4F">
              <w:rPr>
                <w:rFonts w:cs="Arial"/>
              </w:rPr>
              <w:t>Kermadec</w:t>
            </w:r>
            <w:proofErr w:type="spellEnd"/>
            <w:r w:rsidR="00866F4F" w:rsidRPr="00866F4F">
              <w:rPr>
                <w:rFonts w:cs="Arial"/>
              </w:rPr>
              <w:t xml:space="preserve"> regional-source warnings </w:t>
            </w:r>
            <w:r w:rsidR="00241CC0">
              <w:rPr>
                <w:rFonts w:cs="Arial"/>
              </w:rPr>
              <w:t xml:space="preserve">which would </w:t>
            </w:r>
            <w:r w:rsidR="00866F4F" w:rsidRPr="00866F4F">
              <w:rPr>
                <w:rFonts w:cs="Arial"/>
              </w:rPr>
              <w:t xml:space="preserve">trigger evacuation. This is probably the closest case that any official warning can be reliably expected in the foreseeable future. The official warning case here (within 1 hr) would apply to (for example) Auckland in this </w:t>
            </w:r>
            <w:proofErr w:type="spellStart"/>
            <w:r w:rsidR="00866F4F" w:rsidRPr="00866F4F">
              <w:rPr>
                <w:rFonts w:cs="Arial"/>
              </w:rPr>
              <w:t>Kermadec</w:t>
            </w:r>
            <w:proofErr w:type="spellEnd"/>
            <w:r w:rsidR="00866F4F" w:rsidRPr="00866F4F">
              <w:rPr>
                <w:rFonts w:cs="Arial"/>
              </w:rPr>
              <w:t xml:space="preserve"> regional-source case</w:t>
            </w:r>
            <w:r w:rsidR="00252937">
              <w:rPr>
                <w:rFonts w:cs="Arial"/>
              </w:rPr>
              <w:t>, and depends on effective public alerting</w:t>
            </w:r>
            <w:r w:rsidR="00866F4F">
              <w:rPr>
                <w:rFonts w:cs="Arial"/>
              </w:rPr>
              <w:t>.</w:t>
            </w:r>
          </w:p>
          <w:p w:rsidR="00F75989" w:rsidRDefault="002257CB" w:rsidP="00A44022">
            <w:pPr>
              <w:keepNext/>
            </w:pPr>
            <w:r>
              <w:rPr>
                <w:noProof/>
              </w:rPr>
              <w:lastRenderedPageBreak/>
              <w:drawing>
                <wp:inline distT="0" distB="0" distL="0" distR="0" wp14:anchorId="58754BBB" wp14:editId="26E732C8">
                  <wp:extent cx="4705350" cy="2171000"/>
                  <wp:effectExtent l="19050" t="19050" r="19050" b="20320"/>
                  <wp:docPr id="5" name="Picture 5" descr="This image shows how evacuations are triggered by natural warnings.  In the case of natural warning the shaking must trigger evacuation of all zones without delay (e.g. the East Coast around Hawkes Bay) – the education must be recalled accurately without a need to seek further information."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07955" cy="2172202"/>
                          </a:xfrm>
                          <a:prstGeom prst="rect">
                            <a:avLst/>
                          </a:prstGeom>
                          <a:noFill/>
                          <a:ln w="12700" cmpd="sng">
                            <a:solidFill>
                              <a:srgbClr val="000000"/>
                            </a:solidFill>
                            <a:miter lim="800000"/>
                            <a:headEnd/>
                            <a:tailEnd/>
                          </a:ln>
                          <a:effectLst/>
                        </pic:spPr>
                      </pic:pic>
                    </a:graphicData>
                  </a:graphic>
                </wp:inline>
              </w:drawing>
            </w:r>
          </w:p>
          <w:p w:rsidR="002257CB" w:rsidRPr="00A44022" w:rsidRDefault="00F75989" w:rsidP="00A44022">
            <w:pPr>
              <w:pStyle w:val="Caption"/>
            </w:pPr>
            <w:bookmarkStart w:id="54" w:name="_Ref442785455"/>
            <w:r w:rsidRPr="00A44022">
              <w:t xml:space="preserve">Figure </w:t>
            </w:r>
            <w:fldSimple w:instr=" SEQ Figure \* ARABIC ">
              <w:r w:rsidR="009B2134">
                <w:rPr>
                  <w:noProof/>
                </w:rPr>
                <w:t>7</w:t>
              </w:r>
            </w:fldSimple>
            <w:bookmarkEnd w:id="54"/>
            <w:r w:rsidRPr="00A44022">
              <w:t xml:space="preserve"> Natural warning only.  In the case of natural warning the shaking must trigger evacuation of all zones without delay (e.g. the East Coast around Hawkes Bay) – the education must be recalled accurately without a need to seek further information.</w:t>
            </w:r>
          </w:p>
          <w:p w:rsidR="00953989" w:rsidRPr="00953989" w:rsidRDefault="00953989" w:rsidP="00A44022">
            <w:pPr>
              <w:pStyle w:val="Spacer"/>
            </w:pPr>
          </w:p>
        </w:tc>
      </w:tr>
      <w:tr w:rsidR="002257CB" w:rsidTr="00DB32E7">
        <w:tc>
          <w:tcPr>
            <w:tcW w:w="1928" w:type="dxa"/>
            <w:tcMar>
              <w:right w:w="227" w:type="dxa"/>
            </w:tcMar>
          </w:tcPr>
          <w:p w:rsidR="002257CB" w:rsidRDefault="002257CB" w:rsidP="00A44022">
            <w:pPr>
              <w:pStyle w:val="LHcolumn"/>
            </w:pPr>
          </w:p>
        </w:tc>
        <w:tc>
          <w:tcPr>
            <w:tcW w:w="7711" w:type="dxa"/>
          </w:tcPr>
          <w:p w:rsidR="00F75989" w:rsidRDefault="002257CB" w:rsidP="00A44022">
            <w:pPr>
              <w:keepNext/>
            </w:pPr>
            <w:r>
              <w:rPr>
                <w:noProof/>
              </w:rPr>
              <w:drawing>
                <wp:inline distT="0" distB="0" distL="0" distR="0" wp14:anchorId="0E93E113" wp14:editId="5A2E5524">
                  <wp:extent cx="4701698" cy="2638425"/>
                  <wp:effectExtent l="19050" t="19050" r="22860" b="9525"/>
                  <wp:docPr id="6" name="Picture 6" descr="This image shows how an evacuation may be triggered by an official warning.  In the case of official warning the PTWC detection triggers MCDEM and CDEM Group public alerting processes and notifications (implementation of the national plans), and GNS Science GeoNet monitoring agency evaluation, including any engagement of the tsunami experts panel.  The public action is to evacuate the zone(s) stated in the warning."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02784" cy="2639035"/>
                          </a:xfrm>
                          <a:prstGeom prst="rect">
                            <a:avLst/>
                          </a:prstGeom>
                          <a:noFill/>
                          <a:ln w="12700" cmpd="sng">
                            <a:solidFill>
                              <a:srgbClr val="000000"/>
                            </a:solidFill>
                            <a:miter lim="800000"/>
                            <a:headEnd/>
                            <a:tailEnd/>
                          </a:ln>
                          <a:effectLst/>
                        </pic:spPr>
                      </pic:pic>
                    </a:graphicData>
                  </a:graphic>
                </wp:inline>
              </w:drawing>
            </w:r>
          </w:p>
          <w:p w:rsidR="002257CB" w:rsidRPr="00A44022" w:rsidRDefault="00F75989" w:rsidP="00A44022">
            <w:pPr>
              <w:pStyle w:val="Caption"/>
            </w:pPr>
            <w:bookmarkStart w:id="55" w:name="_Ref442785463"/>
            <w:r w:rsidRPr="00A44022">
              <w:t xml:space="preserve">Figure </w:t>
            </w:r>
            <w:fldSimple w:instr=" SEQ Figure \* ARABIC ">
              <w:r w:rsidR="009B2134">
                <w:rPr>
                  <w:noProof/>
                </w:rPr>
                <w:t>8</w:t>
              </w:r>
            </w:fldSimple>
            <w:bookmarkEnd w:id="55"/>
            <w:r w:rsidRPr="00A44022">
              <w:t xml:space="preserve"> Official warning possible.  In the case of official warning the PTWC detection triggers MCDEM and CDEM Group public alerting processes and notifications (implementation of the national plans), and GNS Science GeoNet monitoring agency evaluation, including any engagement of the tsunami experts panel.  The public action is to evacuate the zone(s) stated in the warning</w:t>
            </w:r>
          </w:p>
          <w:p w:rsidR="00953989" w:rsidRPr="00953989" w:rsidRDefault="00953989" w:rsidP="00A44022">
            <w:pPr>
              <w:pStyle w:val="Spacer"/>
            </w:pPr>
          </w:p>
        </w:tc>
      </w:tr>
      <w:tr w:rsidR="00F75989" w:rsidTr="00DB32E7">
        <w:tc>
          <w:tcPr>
            <w:tcW w:w="1928" w:type="dxa"/>
            <w:tcMar>
              <w:right w:w="227" w:type="dxa"/>
            </w:tcMar>
          </w:tcPr>
          <w:p w:rsidR="00F75989" w:rsidRDefault="00F75989" w:rsidP="00A44022">
            <w:pPr>
              <w:pStyle w:val="LHcolumn"/>
            </w:pPr>
            <w:r>
              <w:t>Public alerting of areas to evacuate</w:t>
            </w:r>
          </w:p>
        </w:tc>
        <w:tc>
          <w:tcPr>
            <w:tcW w:w="7711" w:type="dxa"/>
          </w:tcPr>
          <w:p w:rsidR="00F75989" w:rsidRPr="00EF3C05" w:rsidRDefault="00F75989" w:rsidP="00631FE3">
            <w:pPr>
              <w:rPr>
                <w:b/>
              </w:rPr>
            </w:pPr>
            <w:r>
              <w:t xml:space="preserve">Warning agencies need to be able to clarify for the public those areas requiring to be evacuated in an official warning. Also to note is that there may be insufficient time or internet server capacity for everyone to check evacuation zones on official websites.  </w:t>
            </w:r>
            <w:r w:rsidRPr="00A44DF7">
              <w:t>Mobile device apps are expected to a</w:t>
            </w:r>
            <w:r>
              <w:t>ssist</w:t>
            </w:r>
            <w:r w:rsidRPr="00A44DF7">
              <w:t xml:space="preserve"> agencies in this role.</w:t>
            </w:r>
          </w:p>
        </w:tc>
      </w:tr>
    </w:tbl>
    <w:p w:rsidR="00866F4F" w:rsidRDefault="00866F4F" w:rsidP="00A44022">
      <w:pPr>
        <w:pStyle w:val="Heading1"/>
      </w:pPr>
      <w:bookmarkStart w:id="56" w:name="_Toc443381820"/>
      <w:r>
        <w:lastRenderedPageBreak/>
        <w:t xml:space="preserve">Tsunami </w:t>
      </w:r>
      <w:r w:rsidR="00721D6A">
        <w:t xml:space="preserve">evacuation maps </w:t>
      </w:r>
      <w:r>
        <w:t xml:space="preserve">and </w:t>
      </w:r>
      <w:r w:rsidR="00721D6A">
        <w:t>education</w:t>
      </w:r>
      <w:bookmarkEnd w:id="56"/>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866F4F" w:rsidTr="00DB32E7">
        <w:tc>
          <w:tcPr>
            <w:tcW w:w="1928" w:type="dxa"/>
            <w:tcMar>
              <w:right w:w="227" w:type="dxa"/>
            </w:tcMar>
          </w:tcPr>
          <w:p w:rsidR="00866F4F" w:rsidRPr="00CF5073" w:rsidRDefault="00866F4F" w:rsidP="00A44022">
            <w:pPr>
              <w:pStyle w:val="LHcolumn"/>
            </w:pPr>
          </w:p>
        </w:tc>
        <w:tc>
          <w:tcPr>
            <w:tcW w:w="7711" w:type="dxa"/>
          </w:tcPr>
          <w:p w:rsidR="00866F4F" w:rsidRPr="00253B3D" w:rsidRDefault="00866F4F" w:rsidP="00A44022">
            <w:r>
              <w:t>This section provides information on engaging with communities and providing information on tsunami warnings and evacuation procedures</w:t>
            </w:r>
            <w:r w:rsidRPr="009575D3">
              <w:t>.</w:t>
            </w:r>
          </w:p>
        </w:tc>
      </w:tr>
    </w:tbl>
    <w:p w:rsidR="00953989" w:rsidRDefault="00953989" w:rsidP="00A44022"/>
    <w:p w:rsidR="00866F4F" w:rsidRDefault="00866F4F" w:rsidP="00A44022">
      <w:pPr>
        <w:pStyle w:val="Heading2"/>
      </w:pPr>
      <w:bookmarkStart w:id="57" w:name="_Toc443381821"/>
      <w:r>
        <w:t xml:space="preserve">Public </w:t>
      </w:r>
      <w:r w:rsidR="00721D6A">
        <w:t>maps</w:t>
      </w:r>
      <w:bookmarkEnd w:id="57"/>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866F4F" w:rsidTr="00DB32E7">
        <w:tc>
          <w:tcPr>
            <w:tcW w:w="1928" w:type="dxa"/>
            <w:tcMar>
              <w:right w:w="227" w:type="dxa"/>
            </w:tcMar>
          </w:tcPr>
          <w:p w:rsidR="00866F4F" w:rsidRPr="00CF5073" w:rsidRDefault="00866F4F" w:rsidP="00A44022">
            <w:pPr>
              <w:pStyle w:val="LHcolumn"/>
            </w:pPr>
          </w:p>
        </w:tc>
        <w:tc>
          <w:tcPr>
            <w:tcW w:w="7711" w:type="dxa"/>
          </w:tcPr>
          <w:p w:rsidR="00356C8C" w:rsidRDefault="00866F4F" w:rsidP="00A44022">
            <w:r>
              <w:t xml:space="preserve">In addition to the number and appearance of evacuation zones on maps, the basic legend, instruction messages and supporting information on maps should be nationally consistent. </w:t>
            </w:r>
          </w:p>
          <w:p w:rsidR="00866F4F" w:rsidRDefault="00866F4F" w:rsidP="00A44022">
            <w:r>
              <w:t>To ensure common understanding across New Zealand communities, maps should use the same or closely similar colours, the same names for evacuation zones, and common symbols. Any and all zones that the public are expected to evacuate from should be shown on the public maps.</w:t>
            </w:r>
          </w:p>
          <w:p w:rsidR="00866F4F" w:rsidRDefault="00866F4F" w:rsidP="00A44022">
            <w:r>
              <w:t xml:space="preserve">Two examples are provided in </w:t>
            </w:r>
            <w:r w:rsidR="00EA7832">
              <w:fldChar w:fldCharType="begin"/>
            </w:r>
            <w:r w:rsidR="00EA7832">
              <w:instrText xml:space="preserve"> REF _Ref442785543 \h </w:instrText>
            </w:r>
            <w:r w:rsidR="00EA7832">
              <w:fldChar w:fldCharType="separate"/>
            </w:r>
            <w:r w:rsidR="009B2134">
              <w:t xml:space="preserve">Figure </w:t>
            </w:r>
            <w:r w:rsidR="009B2134">
              <w:rPr>
                <w:noProof/>
              </w:rPr>
              <w:t>9</w:t>
            </w:r>
            <w:r w:rsidR="00EA7832">
              <w:fldChar w:fldCharType="end"/>
            </w:r>
            <w:r w:rsidR="004A7FD1">
              <w:t xml:space="preserve"> on page </w:t>
            </w:r>
            <w:r w:rsidR="004A7FD1">
              <w:fldChar w:fldCharType="begin"/>
            </w:r>
            <w:r w:rsidR="004A7FD1">
              <w:instrText xml:space="preserve"> PAGEREF _Ref442785634 \h </w:instrText>
            </w:r>
            <w:r w:rsidR="004A7FD1">
              <w:fldChar w:fldCharType="separate"/>
            </w:r>
            <w:r w:rsidR="009B2134">
              <w:rPr>
                <w:noProof/>
              </w:rPr>
              <w:t>31</w:t>
            </w:r>
            <w:r w:rsidR="004A7FD1">
              <w:fldChar w:fldCharType="end"/>
            </w:r>
            <w:r w:rsidR="00EA7832">
              <w:t xml:space="preserve"> and </w:t>
            </w:r>
            <w:r w:rsidR="00EA7832">
              <w:fldChar w:fldCharType="begin"/>
            </w:r>
            <w:r w:rsidR="00EA7832">
              <w:instrText xml:space="preserve"> REF _Ref442785551 \h </w:instrText>
            </w:r>
            <w:r w:rsidR="00EA7832">
              <w:fldChar w:fldCharType="separate"/>
            </w:r>
            <w:r w:rsidR="009B2134" w:rsidRPr="00A44022">
              <w:t xml:space="preserve">Figure </w:t>
            </w:r>
            <w:r w:rsidR="009B2134">
              <w:rPr>
                <w:noProof/>
              </w:rPr>
              <w:t>10</w:t>
            </w:r>
            <w:r w:rsidR="00EA7832">
              <w:fldChar w:fldCharType="end"/>
            </w:r>
            <w:r w:rsidR="004A7FD1">
              <w:t xml:space="preserve"> on page </w:t>
            </w:r>
            <w:r w:rsidR="004A7FD1">
              <w:fldChar w:fldCharType="begin"/>
            </w:r>
            <w:r w:rsidR="004A7FD1">
              <w:instrText xml:space="preserve"> PAGEREF _Ref442785641 \h </w:instrText>
            </w:r>
            <w:r w:rsidR="004A7FD1">
              <w:fldChar w:fldCharType="separate"/>
            </w:r>
            <w:r w:rsidR="009B2134">
              <w:rPr>
                <w:noProof/>
              </w:rPr>
              <w:t>32</w:t>
            </w:r>
            <w:r w:rsidR="004A7FD1">
              <w:fldChar w:fldCharType="end"/>
            </w:r>
            <w:r>
              <w:t>, showing possible appearances of maps using the three colour-coded tsunami evacuation zones. For additional clarity and to assist distinction of zones in photocopied or greyscale reproductions, the evacuation zones should also be labelled.</w:t>
            </w:r>
          </w:p>
          <w:p w:rsidR="00866F4F" w:rsidRDefault="00866F4F" w:rsidP="00A44022">
            <w:r>
              <w:t>An ArcMap® template for producing standard maps is available from the GNS Science Regional Geology Department GIS team</w:t>
            </w:r>
            <w:r w:rsidR="00290AFA">
              <w:t>.</w:t>
            </w:r>
          </w:p>
          <w:p w:rsidR="00953989" w:rsidRPr="00253B3D" w:rsidRDefault="00953989" w:rsidP="00A44022">
            <w:pPr>
              <w:pStyle w:val="Spacer"/>
            </w:pPr>
          </w:p>
        </w:tc>
      </w:tr>
      <w:tr w:rsidR="00B30683" w:rsidTr="00DB32E7">
        <w:tc>
          <w:tcPr>
            <w:tcW w:w="1928" w:type="dxa"/>
            <w:tcMar>
              <w:right w:w="227" w:type="dxa"/>
            </w:tcMar>
          </w:tcPr>
          <w:p w:rsidR="00B30683" w:rsidRPr="00CF5073" w:rsidRDefault="00B30683" w:rsidP="00A44022">
            <w:pPr>
              <w:pStyle w:val="LHcolumn"/>
            </w:pPr>
            <w:r>
              <w:t xml:space="preserve">Map </w:t>
            </w:r>
            <w:r w:rsidR="00721D6A">
              <w:t>scale</w:t>
            </w:r>
          </w:p>
        </w:tc>
        <w:tc>
          <w:tcPr>
            <w:tcW w:w="7711" w:type="dxa"/>
          </w:tcPr>
          <w:p w:rsidR="00B30683" w:rsidRDefault="00B30683" w:rsidP="00A44022">
            <w:r>
              <w:t>Maps should be produced to a scale appropriate to the area shown. Note that scale can give a false impression of accuracy if not carefully managed. For zones developed using 20</w:t>
            </w:r>
            <w:r w:rsidR="00241CC0">
              <w:t>m</w:t>
            </w:r>
            <w:r>
              <w:t xml:space="preserve"> contour data, and maps using 1:50,000 topographic data, it may be necessary to refine the zone boundaries with detailed local information if enlarging beyond 1:25,000.</w:t>
            </w:r>
          </w:p>
          <w:p w:rsidR="00B30683" w:rsidRDefault="00B30683" w:rsidP="00A44022">
            <w:r>
              <w:t>For high density urban areas it is recommended that higher resolution elevation data are used (e.g. LiDAR), and additional information sources are included on maps to improve recognition and readability; for example, elements from council cadastral maps showing named streets, or aerial photo imagery that clearly identifies well known geographical features.</w:t>
            </w:r>
          </w:p>
          <w:p w:rsidR="00B30683" w:rsidRDefault="00B30683" w:rsidP="00A44022">
            <w:r>
              <w:t>Features that are added should be appropriate for the map scale and population density. For example, in urban areas detailed street maps might be required with careful consideration given to expanding zone boundary locations</w:t>
            </w:r>
            <w:r w:rsidR="00241CC0">
              <w:t>,</w:t>
            </w:r>
            <w:r>
              <w:t xml:space="preserve"> as needed to accommodate street layout and the location of key facilities such as schools or hospitals.</w:t>
            </w:r>
          </w:p>
          <w:p w:rsidR="00953989" w:rsidRDefault="00953989" w:rsidP="00A44022">
            <w:pPr>
              <w:pStyle w:val="Spacer"/>
            </w:pPr>
          </w:p>
        </w:tc>
      </w:tr>
    </w:tbl>
    <w:p w:rsidR="00953989" w:rsidRDefault="00953989" w:rsidP="00A44022"/>
    <w:p w:rsidR="00953989" w:rsidRDefault="00953989" w:rsidP="00A44022">
      <w:pPr>
        <w:spacing w:before="0" w:after="0" w:line="240" w:lineRule="auto"/>
      </w:pPr>
      <w:r>
        <w:br w:type="page"/>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B30683" w:rsidTr="00DB32E7">
        <w:tc>
          <w:tcPr>
            <w:tcW w:w="1928" w:type="dxa"/>
            <w:tcMar>
              <w:right w:w="227" w:type="dxa"/>
            </w:tcMar>
          </w:tcPr>
          <w:p w:rsidR="00B30683" w:rsidRDefault="00B30683" w:rsidP="00A44022">
            <w:pPr>
              <w:pStyle w:val="LHcolumn"/>
            </w:pPr>
            <w:r>
              <w:lastRenderedPageBreak/>
              <w:t xml:space="preserve">Legend </w:t>
            </w:r>
            <w:r w:rsidR="00721D6A">
              <w:t>text</w:t>
            </w:r>
          </w:p>
        </w:tc>
        <w:tc>
          <w:tcPr>
            <w:tcW w:w="7711" w:type="dxa"/>
          </w:tcPr>
          <w:p w:rsidR="00B30683" w:rsidRDefault="00B30683" w:rsidP="00A44022">
            <w:r w:rsidRPr="00B30683">
              <w:t>It is recommended that, as a minimum, all of the following should be included on maps and shown in the legend:</w:t>
            </w:r>
          </w:p>
          <w:p w:rsidR="00B30683" w:rsidRDefault="00B30683" w:rsidP="00A44022">
            <w:pPr>
              <w:pStyle w:val="Bullet"/>
            </w:pPr>
            <w:r>
              <w:t>Red Zone</w:t>
            </w:r>
          </w:p>
          <w:p w:rsidR="00B30683" w:rsidRDefault="00153B71" w:rsidP="00A44022">
            <w:pPr>
              <w:pStyle w:val="Bullet"/>
            </w:pPr>
            <w:r>
              <w:t>Orange Zone</w:t>
            </w:r>
          </w:p>
          <w:p w:rsidR="00B30683" w:rsidRDefault="00B30683" w:rsidP="00A44022">
            <w:pPr>
              <w:pStyle w:val="Bullet"/>
            </w:pPr>
            <w:r>
              <w:t>Yellow Zone</w:t>
            </w:r>
          </w:p>
          <w:p w:rsidR="00B30683" w:rsidRDefault="00B30683" w:rsidP="00A44022">
            <w:pPr>
              <w:pStyle w:val="Bullet"/>
            </w:pPr>
            <w:r>
              <w:t xml:space="preserve">Tsunami Safe Area or </w:t>
            </w:r>
            <w:r w:rsidR="00241CC0">
              <w:t>l</w:t>
            </w:r>
            <w:r>
              <w:t>ocations</w:t>
            </w:r>
          </w:p>
          <w:p w:rsidR="00B30683" w:rsidRDefault="00F60F0D" w:rsidP="00A44022">
            <w:pPr>
              <w:pStyle w:val="Bullet"/>
            </w:pPr>
            <w:r>
              <w:t xml:space="preserve">key </w:t>
            </w:r>
            <w:r w:rsidR="00B30683">
              <w:t>buildings/urban areas</w:t>
            </w:r>
          </w:p>
          <w:p w:rsidR="00B30683" w:rsidRDefault="00F60F0D" w:rsidP="00A44022">
            <w:pPr>
              <w:pStyle w:val="Bullet"/>
            </w:pPr>
            <w:r>
              <w:t>roads</w:t>
            </w:r>
          </w:p>
          <w:p w:rsidR="00B30683" w:rsidRDefault="00F60F0D" w:rsidP="00A44022">
            <w:pPr>
              <w:pStyle w:val="Bullet"/>
            </w:pPr>
            <w:r>
              <w:t>rivers, and</w:t>
            </w:r>
          </w:p>
          <w:p w:rsidR="00B30683" w:rsidRDefault="00F60F0D" w:rsidP="00A44022">
            <w:pPr>
              <w:pStyle w:val="Bullet"/>
            </w:pPr>
            <w:proofErr w:type="gramStart"/>
            <w:r>
              <w:t>evacuation</w:t>
            </w:r>
            <w:proofErr w:type="gramEnd"/>
            <w:r>
              <w:t xml:space="preserve"> </w:t>
            </w:r>
            <w:r w:rsidR="00B30683">
              <w:t>routes</w:t>
            </w:r>
            <w:r>
              <w:t>.</w:t>
            </w:r>
          </w:p>
          <w:p w:rsidR="00B30683" w:rsidRPr="00B30683" w:rsidRDefault="00B30683" w:rsidP="00A44022">
            <w:pPr>
              <w:rPr>
                <w:b/>
              </w:rPr>
            </w:pPr>
            <w:r w:rsidRPr="00B30683">
              <w:rPr>
                <w:b/>
              </w:rPr>
              <w:t>Local customisation of maps is encouraged to ensure information relevant to a community is included</w:t>
            </w:r>
            <w:r w:rsidR="00DD6703">
              <w:rPr>
                <w:b/>
              </w:rPr>
              <w:t xml:space="preserve">, for example, </w:t>
            </w:r>
            <w:r w:rsidRPr="00B30683">
              <w:rPr>
                <w:b/>
              </w:rPr>
              <w:t>the location of special areas of interest such as marae, or local knowledge such as the safety of a particular pathway or route.</w:t>
            </w:r>
          </w:p>
        </w:tc>
      </w:tr>
    </w:tbl>
    <w:p w:rsidR="00953989" w:rsidRDefault="00953989" w:rsidP="00F60F0D">
      <w:pPr>
        <w:pStyle w:val="Spacer"/>
      </w:pPr>
    </w:p>
    <w:p w:rsidR="00B30683" w:rsidRDefault="00B30683" w:rsidP="00A44022">
      <w:pPr>
        <w:pStyle w:val="Heading2"/>
      </w:pPr>
      <w:bookmarkStart w:id="58" w:name="_Toc443381822"/>
      <w:r>
        <w:t xml:space="preserve">Warning and </w:t>
      </w:r>
      <w:r w:rsidR="00721D6A">
        <w:t xml:space="preserve">evacuation information </w:t>
      </w:r>
      <w:r>
        <w:t xml:space="preserve">on </w:t>
      </w:r>
      <w:r w:rsidR="00721D6A">
        <w:t>maps</w:t>
      </w:r>
      <w:bookmarkEnd w:id="58"/>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B30683" w:rsidTr="00DB32E7">
        <w:tc>
          <w:tcPr>
            <w:tcW w:w="1928" w:type="dxa"/>
            <w:tcMar>
              <w:right w:w="227" w:type="dxa"/>
            </w:tcMar>
          </w:tcPr>
          <w:p w:rsidR="00B30683" w:rsidRPr="00CF5073" w:rsidRDefault="00B30683" w:rsidP="00A44022">
            <w:pPr>
              <w:pStyle w:val="LHcolumn"/>
            </w:pPr>
            <w:r>
              <w:t>Principles behind evacuation messages</w:t>
            </w:r>
          </w:p>
        </w:tc>
        <w:tc>
          <w:tcPr>
            <w:tcW w:w="7711" w:type="dxa"/>
          </w:tcPr>
          <w:p w:rsidR="00B30683" w:rsidRDefault="00B30683" w:rsidP="00A44022">
            <w:r>
              <w:t>In ‘natural’ or ‘informal’ warnings, people are expected to evacuate all zones</w:t>
            </w:r>
            <w:r w:rsidR="00953989">
              <w:t>.</w:t>
            </w:r>
            <w:r w:rsidR="003A111F">
              <w:t xml:space="preserve"> </w:t>
            </w:r>
            <w:r>
              <w:t xml:space="preserve">In ‘official’ warnings from </w:t>
            </w:r>
            <w:r w:rsidR="00241CC0">
              <w:t>local CDEM Groups</w:t>
            </w:r>
            <w:r>
              <w:t>, people are expected to evacuate the zone(s) stated in the warning message</w:t>
            </w:r>
            <w:r w:rsidR="00953989">
              <w:t>.</w:t>
            </w:r>
            <w:r w:rsidR="003A111F">
              <w:t xml:space="preserve"> </w:t>
            </w:r>
            <w:r>
              <w:t>Evacuation should be on foot (or bicycle) wherever possible</w:t>
            </w:r>
            <w:r w:rsidR="00953989">
              <w:t>.</w:t>
            </w:r>
          </w:p>
          <w:p w:rsidR="00B30683" w:rsidRPr="00253B3D" w:rsidRDefault="00B30683" w:rsidP="00A44022">
            <w:r>
              <w:t>Community engagement and public education are essential for improving the understanding of what to look for and what to do during a tsunami. Ideally, communities should plan their own evacuation routes (with assistance from local CDEM</w:t>
            </w:r>
            <w:r w:rsidR="00241CC0">
              <w:t xml:space="preserve"> Groups</w:t>
            </w:r>
            <w:r>
              <w:t>), and exercise plans on a regular basis.</w:t>
            </w:r>
          </w:p>
        </w:tc>
      </w:tr>
    </w:tbl>
    <w:p w:rsidR="00F60F0D" w:rsidRPr="00F60F0D" w:rsidRDefault="00F60F0D" w:rsidP="00F60F0D">
      <w:pPr>
        <w:pStyle w:val="Spacer"/>
      </w:pPr>
    </w:p>
    <w:p w:rsidR="00B30683" w:rsidRDefault="0062146A" w:rsidP="00A44022">
      <w:pPr>
        <w:pStyle w:val="Heading3"/>
        <w:spacing w:after="120"/>
      </w:pPr>
      <w:bookmarkStart w:id="59" w:name="_Toc443381823"/>
      <w:r>
        <w:t xml:space="preserve">Recommended </w:t>
      </w:r>
      <w:r w:rsidR="00721D6A">
        <w:t xml:space="preserve">text </w:t>
      </w:r>
      <w:r>
        <w:t xml:space="preserve">for </w:t>
      </w:r>
      <w:r w:rsidR="00721D6A">
        <w:t xml:space="preserve">warning </w:t>
      </w:r>
      <w:r>
        <w:t xml:space="preserve">and </w:t>
      </w:r>
      <w:r w:rsidR="00721D6A">
        <w:t>evacuation information</w:t>
      </w:r>
      <w:bookmarkEnd w:id="59"/>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62146A" w:rsidTr="00DB32E7">
        <w:tc>
          <w:tcPr>
            <w:tcW w:w="1928" w:type="dxa"/>
            <w:tcMar>
              <w:right w:w="227" w:type="dxa"/>
            </w:tcMar>
          </w:tcPr>
          <w:p w:rsidR="0062146A" w:rsidRDefault="0062146A" w:rsidP="00A44022">
            <w:pPr>
              <w:pStyle w:val="LHcolumn"/>
            </w:pPr>
          </w:p>
        </w:tc>
        <w:tc>
          <w:tcPr>
            <w:tcW w:w="7711" w:type="dxa"/>
          </w:tcPr>
          <w:p w:rsidR="0062146A" w:rsidRDefault="0062146A" w:rsidP="00A44022">
            <w:pPr>
              <w:rPr>
                <w:rFonts w:cs="Arial"/>
                <w:b/>
              </w:rPr>
            </w:pPr>
            <w:r w:rsidRPr="00B30683">
              <w:rPr>
                <w:rFonts w:cs="Arial"/>
                <w:b/>
                <w:u w:val="single"/>
              </w:rPr>
              <w:t>The most important message that the eye is drawn to first on every map is: “In a long OR strong earthquake evacuate all zones.”</w:t>
            </w:r>
          </w:p>
          <w:p w:rsidR="0062146A" w:rsidRDefault="0062146A" w:rsidP="00A44022">
            <w:pPr>
              <w:rPr>
                <w:rFonts w:cs="Arial"/>
              </w:rPr>
            </w:pPr>
            <w:r w:rsidRPr="00B30683">
              <w:rPr>
                <w:rFonts w:cs="Arial"/>
              </w:rPr>
              <w:t>All other messages are a secondary priority and must not distract from this. The following text is recommended for inclusion on maps as fourth-order priority messages under the following headings.</w:t>
            </w:r>
          </w:p>
          <w:p w:rsidR="003A111F" w:rsidRPr="00B30683" w:rsidRDefault="003A111F" w:rsidP="00A44022">
            <w:pPr>
              <w:pStyle w:val="Spacer"/>
            </w:pPr>
          </w:p>
        </w:tc>
      </w:tr>
      <w:tr w:rsidR="0062146A" w:rsidTr="00DB32E7">
        <w:tc>
          <w:tcPr>
            <w:tcW w:w="1928" w:type="dxa"/>
            <w:tcMar>
              <w:right w:w="227" w:type="dxa"/>
            </w:tcMar>
          </w:tcPr>
          <w:p w:rsidR="0062146A" w:rsidRDefault="0062146A" w:rsidP="00A44022">
            <w:pPr>
              <w:pStyle w:val="LHcolumn"/>
            </w:pPr>
            <w:r>
              <w:t xml:space="preserve">Natural </w:t>
            </w:r>
            <w:r w:rsidR="00721D6A">
              <w:t>warnings</w:t>
            </w:r>
          </w:p>
        </w:tc>
        <w:tc>
          <w:tcPr>
            <w:tcW w:w="7711" w:type="dxa"/>
          </w:tcPr>
          <w:p w:rsidR="0062146A" w:rsidRPr="0062146A" w:rsidRDefault="0062146A" w:rsidP="00A44022">
            <w:pPr>
              <w:rPr>
                <w:rFonts w:cs="Arial"/>
              </w:rPr>
            </w:pPr>
            <w:r w:rsidRPr="0062146A">
              <w:rPr>
                <w:rFonts w:cs="Arial"/>
              </w:rPr>
              <w:t>In the case of</w:t>
            </w:r>
            <w:r w:rsidR="00F93869">
              <w:rPr>
                <w:rFonts w:cs="Arial"/>
              </w:rPr>
              <w:t xml:space="preserve"> either</w:t>
            </w:r>
            <w:r w:rsidRPr="0062146A">
              <w:rPr>
                <w:rFonts w:cs="Arial"/>
              </w:rPr>
              <w:t>:</w:t>
            </w:r>
          </w:p>
          <w:p w:rsidR="0062146A" w:rsidRPr="00546C97" w:rsidRDefault="00290AFA" w:rsidP="00F60F0D">
            <w:pPr>
              <w:pStyle w:val="Bullet"/>
            </w:pPr>
            <w:r w:rsidRPr="00F93869">
              <w:t>A</w:t>
            </w:r>
            <w:r w:rsidR="0062146A" w:rsidRPr="00F93869">
              <w:t xml:space="preserve"> large earthquake (one it is hard to stand up in), unusual noises from the ocean, or</w:t>
            </w:r>
          </w:p>
          <w:p w:rsidR="0062146A" w:rsidRPr="00CE4D32" w:rsidRDefault="00290AFA" w:rsidP="00F60F0D">
            <w:pPr>
              <w:pStyle w:val="Bullet"/>
            </w:pPr>
            <w:r w:rsidRPr="00CE4D32">
              <w:t>C</w:t>
            </w:r>
            <w:r w:rsidR="0062146A" w:rsidRPr="00CE4D32">
              <w:t>hanges in the ocean (e.g. the ocean rushing in or out), or</w:t>
            </w:r>
          </w:p>
          <w:p w:rsidR="0062146A" w:rsidRPr="00362F55" w:rsidRDefault="00290AFA" w:rsidP="00F60F0D">
            <w:pPr>
              <w:pStyle w:val="Bullet"/>
            </w:pPr>
            <w:r w:rsidRPr="00E951AF">
              <w:t>F</w:t>
            </w:r>
            <w:r w:rsidR="0062146A" w:rsidRPr="00E951AF">
              <w:t>eeling a weak earthquake that lasts for a minute or more:</w:t>
            </w:r>
          </w:p>
          <w:p w:rsidR="0062146A" w:rsidRPr="0044132B" w:rsidRDefault="0062146A" w:rsidP="00A44022">
            <w:pPr>
              <w:rPr>
                <w:rFonts w:cs="Arial"/>
                <w:b/>
              </w:rPr>
            </w:pPr>
            <w:r w:rsidRPr="0044132B">
              <w:rPr>
                <w:rFonts w:cs="Arial"/>
                <w:b/>
              </w:rPr>
              <w:t xml:space="preserve">Evacuate ALL zones. A wave may arrive within minutes or take more than an hour to arrive. Wait for </w:t>
            </w:r>
            <w:r w:rsidR="00241CC0" w:rsidRPr="0044132B">
              <w:rPr>
                <w:rFonts w:cs="Arial"/>
                <w:b/>
              </w:rPr>
              <w:t xml:space="preserve">the </w:t>
            </w:r>
            <w:r w:rsidRPr="0044132B">
              <w:rPr>
                <w:rFonts w:cs="Arial"/>
                <w:b/>
              </w:rPr>
              <w:t xml:space="preserve">official </w:t>
            </w:r>
            <w:r w:rsidR="00241CC0" w:rsidRPr="0044132B">
              <w:rPr>
                <w:rFonts w:cs="Arial"/>
                <w:b/>
              </w:rPr>
              <w:t>“</w:t>
            </w:r>
            <w:r w:rsidRPr="0044132B">
              <w:rPr>
                <w:rFonts w:cs="Arial"/>
                <w:b/>
              </w:rPr>
              <w:t>all clear</w:t>
            </w:r>
            <w:r w:rsidR="00241CC0" w:rsidRPr="0044132B">
              <w:rPr>
                <w:rFonts w:cs="Arial"/>
                <w:b/>
              </w:rPr>
              <w:t>”</w:t>
            </w:r>
            <w:r w:rsidRPr="0044132B">
              <w:rPr>
                <w:rFonts w:cs="Arial"/>
                <w:b/>
              </w:rPr>
              <w:t xml:space="preserve"> or advice from </w:t>
            </w:r>
            <w:r w:rsidR="00241CC0" w:rsidRPr="0044132B">
              <w:rPr>
                <w:rFonts w:cs="Arial"/>
                <w:b/>
              </w:rPr>
              <w:t>local CDEM Groups</w:t>
            </w:r>
            <w:r w:rsidRPr="0044132B">
              <w:rPr>
                <w:rFonts w:cs="Arial"/>
                <w:b/>
              </w:rPr>
              <w:t>.</w:t>
            </w:r>
          </w:p>
        </w:tc>
      </w:tr>
      <w:tr w:rsidR="0062146A" w:rsidTr="00DB32E7">
        <w:tc>
          <w:tcPr>
            <w:tcW w:w="1928" w:type="dxa"/>
            <w:tcMar>
              <w:right w:w="227" w:type="dxa"/>
            </w:tcMar>
          </w:tcPr>
          <w:p w:rsidR="0062146A" w:rsidRDefault="0062146A" w:rsidP="00A44022">
            <w:pPr>
              <w:pStyle w:val="LHcolumn"/>
            </w:pPr>
            <w:r>
              <w:lastRenderedPageBreak/>
              <w:t xml:space="preserve">Official </w:t>
            </w:r>
            <w:r w:rsidR="00721D6A">
              <w:t>warnings</w:t>
            </w:r>
          </w:p>
        </w:tc>
        <w:tc>
          <w:tcPr>
            <w:tcW w:w="7711" w:type="dxa"/>
          </w:tcPr>
          <w:p w:rsidR="0062146A" w:rsidRPr="0062146A" w:rsidRDefault="00241CC0" w:rsidP="00A44022">
            <w:pPr>
              <w:rPr>
                <w:rFonts w:cs="Arial"/>
              </w:rPr>
            </w:pPr>
            <w:r>
              <w:rPr>
                <w:rFonts w:cs="Arial"/>
              </w:rPr>
              <w:t>Official warnings are r</w:t>
            </w:r>
            <w:r w:rsidR="0062146A" w:rsidRPr="0062146A">
              <w:rPr>
                <w:rFonts w:cs="Arial"/>
              </w:rPr>
              <w:t>eceived from local</w:t>
            </w:r>
            <w:r>
              <w:rPr>
                <w:rFonts w:cs="Arial"/>
              </w:rPr>
              <w:t xml:space="preserve"> CDEM Groups</w:t>
            </w:r>
            <w:r w:rsidR="0062146A" w:rsidRPr="0062146A">
              <w:rPr>
                <w:rFonts w:cs="Arial"/>
              </w:rPr>
              <w:t>. These warnings may come to you via New Zealand TV/radio broadcasts or the emergency services</w:t>
            </w:r>
            <w:r w:rsidR="00DD6703">
              <w:rPr>
                <w:rFonts w:cs="Arial"/>
              </w:rPr>
              <w:t xml:space="preserve"> (i.e. police, fire or ambulance)</w:t>
            </w:r>
            <w:r w:rsidR="0062146A" w:rsidRPr="0062146A">
              <w:rPr>
                <w:rFonts w:cs="Arial"/>
              </w:rPr>
              <w:t>. You may receive warnings from one or several sources.</w:t>
            </w:r>
          </w:p>
          <w:p w:rsidR="0062146A" w:rsidRDefault="0062146A" w:rsidP="00A44022">
            <w:pPr>
              <w:rPr>
                <w:rFonts w:cs="Arial"/>
                <w:b/>
              </w:rPr>
            </w:pPr>
            <w:r w:rsidRPr="0044132B">
              <w:rPr>
                <w:rFonts w:cs="Arial"/>
                <w:b/>
              </w:rPr>
              <w:t xml:space="preserve">Evacuate from the zone(s) stated in the warning message. Wait for </w:t>
            </w:r>
            <w:r w:rsidR="00DD6703" w:rsidRPr="0044132B">
              <w:rPr>
                <w:rFonts w:cs="Arial"/>
                <w:b/>
              </w:rPr>
              <w:t xml:space="preserve">the </w:t>
            </w:r>
            <w:r w:rsidRPr="0044132B">
              <w:rPr>
                <w:rFonts w:cs="Arial"/>
                <w:b/>
              </w:rPr>
              <w:t xml:space="preserve">official </w:t>
            </w:r>
            <w:r w:rsidR="00DD6703" w:rsidRPr="0044132B">
              <w:rPr>
                <w:rFonts w:cs="Arial"/>
                <w:b/>
              </w:rPr>
              <w:t>“</w:t>
            </w:r>
            <w:r w:rsidRPr="0044132B">
              <w:rPr>
                <w:rFonts w:cs="Arial"/>
                <w:b/>
              </w:rPr>
              <w:t>all clear</w:t>
            </w:r>
            <w:r w:rsidR="00DD6703" w:rsidRPr="0044132B">
              <w:rPr>
                <w:rFonts w:cs="Arial"/>
                <w:b/>
              </w:rPr>
              <w:t>”</w:t>
            </w:r>
            <w:r w:rsidRPr="0044132B">
              <w:rPr>
                <w:rFonts w:cs="Arial"/>
                <w:b/>
              </w:rPr>
              <w:t xml:space="preserve"> or advice from </w:t>
            </w:r>
            <w:r w:rsidR="00DD6703" w:rsidRPr="0044132B">
              <w:rPr>
                <w:rFonts w:cs="Arial"/>
                <w:b/>
              </w:rPr>
              <w:t>local CDEM Groups</w:t>
            </w:r>
            <w:r w:rsidRPr="0044132B">
              <w:rPr>
                <w:rFonts w:cs="Arial"/>
                <w:b/>
              </w:rPr>
              <w:t>.</w:t>
            </w:r>
          </w:p>
          <w:p w:rsidR="003A111F" w:rsidRPr="0044132B" w:rsidRDefault="003A111F" w:rsidP="00A44022">
            <w:pPr>
              <w:pStyle w:val="Spacer"/>
            </w:pPr>
          </w:p>
        </w:tc>
      </w:tr>
      <w:tr w:rsidR="002D55C2" w:rsidTr="00DB32E7">
        <w:tc>
          <w:tcPr>
            <w:tcW w:w="1928" w:type="dxa"/>
            <w:tcMar>
              <w:right w:w="227" w:type="dxa"/>
            </w:tcMar>
          </w:tcPr>
          <w:p w:rsidR="002D55C2" w:rsidRDefault="002D55C2" w:rsidP="00A44022">
            <w:pPr>
              <w:pStyle w:val="LHcolumn"/>
            </w:pPr>
            <w:r>
              <w:t xml:space="preserve">Informal </w:t>
            </w:r>
            <w:r w:rsidR="00721D6A">
              <w:t>warnings</w:t>
            </w:r>
          </w:p>
        </w:tc>
        <w:tc>
          <w:tcPr>
            <w:tcW w:w="7711" w:type="dxa"/>
          </w:tcPr>
          <w:p w:rsidR="002D55C2" w:rsidRDefault="002D55C2" w:rsidP="00A44022">
            <w:pPr>
              <w:rPr>
                <w:rFonts w:cs="Arial"/>
              </w:rPr>
            </w:pPr>
            <w:r w:rsidRPr="002D55C2">
              <w:rPr>
                <w:rFonts w:cs="Arial"/>
              </w:rPr>
              <w:t xml:space="preserve">Warnings from friends, other members of the public or international media may be correct. If you feel the threat is imminent, quickly get to high ground. Consider evacuating from all zones. Verify the warning only once evacuated, or if you can do so, quickly via radio, television, internet, or through your </w:t>
            </w:r>
            <w:r w:rsidR="00DD6703">
              <w:rPr>
                <w:rFonts w:cs="Arial"/>
              </w:rPr>
              <w:t>local CDEM Group</w:t>
            </w:r>
            <w:r w:rsidRPr="002D55C2">
              <w:rPr>
                <w:rFonts w:cs="Arial"/>
              </w:rPr>
              <w:t>.</w:t>
            </w:r>
          </w:p>
          <w:p w:rsidR="003A111F" w:rsidRPr="0062146A" w:rsidRDefault="003A111F" w:rsidP="00A44022">
            <w:pPr>
              <w:pStyle w:val="Spacer"/>
            </w:pPr>
          </w:p>
        </w:tc>
      </w:tr>
      <w:tr w:rsidR="002D55C2" w:rsidTr="00DB32E7">
        <w:tc>
          <w:tcPr>
            <w:tcW w:w="1928" w:type="dxa"/>
            <w:tcMar>
              <w:right w:w="227" w:type="dxa"/>
            </w:tcMar>
          </w:tcPr>
          <w:p w:rsidR="002D55C2" w:rsidRDefault="002D55C2" w:rsidP="00A44022">
            <w:pPr>
              <w:pStyle w:val="LHcolumn"/>
            </w:pPr>
            <w:r>
              <w:t xml:space="preserve">Tsunami </w:t>
            </w:r>
            <w:r w:rsidR="00721D6A">
              <w:t>evacuation</w:t>
            </w:r>
          </w:p>
        </w:tc>
        <w:tc>
          <w:tcPr>
            <w:tcW w:w="7711" w:type="dxa"/>
          </w:tcPr>
          <w:p w:rsidR="002D55C2" w:rsidRPr="002D55C2" w:rsidRDefault="002D55C2" w:rsidP="00A44022">
            <w:pPr>
              <w:rPr>
                <w:rFonts w:cs="Arial"/>
              </w:rPr>
            </w:pPr>
            <w:r w:rsidRPr="002D55C2">
              <w:rPr>
                <w:rFonts w:cs="Arial"/>
              </w:rPr>
              <w:t>Evacuate via the routes drawn on this map.</w:t>
            </w:r>
          </w:p>
          <w:p w:rsidR="002D55C2" w:rsidRPr="002D55C2" w:rsidRDefault="002D55C2" w:rsidP="00A44022">
            <w:pPr>
              <w:rPr>
                <w:rFonts w:cs="Arial"/>
              </w:rPr>
            </w:pPr>
            <w:r w:rsidRPr="002D55C2">
              <w:rPr>
                <w:rFonts w:cs="Arial"/>
              </w:rPr>
              <w:t>Follow signed routes where present.</w:t>
            </w:r>
          </w:p>
          <w:p w:rsidR="002D55C2" w:rsidRDefault="002D55C2" w:rsidP="00A44022">
            <w:pPr>
              <w:rPr>
                <w:rFonts w:cs="Arial"/>
              </w:rPr>
            </w:pPr>
            <w:r w:rsidRPr="002D55C2">
              <w:rPr>
                <w:rFonts w:cs="Arial"/>
              </w:rPr>
              <w:t>Walk quickly if possible, drive only if essential. If driving, keep going once you are well outside all evacuation zones to allow room for others behind you.</w:t>
            </w:r>
          </w:p>
          <w:p w:rsidR="002D55C2" w:rsidRPr="002D55C2" w:rsidRDefault="002D55C2" w:rsidP="00A44022">
            <w:pPr>
              <w:rPr>
                <w:rFonts w:cs="Arial"/>
              </w:rPr>
            </w:pPr>
            <w:r w:rsidRPr="002D55C2">
              <w:rPr>
                <w:rFonts w:cs="Arial"/>
              </w:rPr>
              <w:t>The first waves may not be the largest.</w:t>
            </w:r>
          </w:p>
          <w:p w:rsidR="002D55C2" w:rsidRPr="002D55C2" w:rsidRDefault="002D55C2" w:rsidP="00A44022">
            <w:pPr>
              <w:rPr>
                <w:rFonts w:cs="Arial"/>
              </w:rPr>
            </w:pPr>
            <w:r w:rsidRPr="002D55C2">
              <w:rPr>
                <w:rFonts w:cs="Arial"/>
              </w:rPr>
              <w:t>There may be multiple waves separated by up to an hour, or more. Large waves may come after a series of smaller waves. The largest waves from distant sources may take many hours to arrive.</w:t>
            </w:r>
          </w:p>
          <w:p w:rsidR="002D55C2" w:rsidRPr="002D55C2" w:rsidRDefault="002D55C2" w:rsidP="00A44022">
            <w:pPr>
              <w:rPr>
                <w:rFonts w:cs="Arial"/>
              </w:rPr>
            </w:pPr>
            <w:r w:rsidRPr="002D55C2">
              <w:rPr>
                <w:rFonts w:cs="Arial"/>
              </w:rPr>
              <w:t xml:space="preserve">Stay </w:t>
            </w:r>
            <w:r w:rsidRPr="002D55C2">
              <w:rPr>
                <w:rFonts w:cs="Arial"/>
                <w:b/>
              </w:rPr>
              <w:t>OUT</w:t>
            </w:r>
            <w:r w:rsidRPr="002D55C2">
              <w:rPr>
                <w:rFonts w:cs="Arial"/>
              </w:rPr>
              <w:t xml:space="preserve"> of evacuation zones until given the official all clear from </w:t>
            </w:r>
            <w:r w:rsidR="00DD6703">
              <w:rPr>
                <w:rFonts w:cs="Arial"/>
              </w:rPr>
              <w:t>your local CDEM Group</w:t>
            </w:r>
            <w:r w:rsidRPr="002D55C2">
              <w:rPr>
                <w:rFonts w:cs="Arial"/>
              </w:rPr>
              <w:t>.</w:t>
            </w:r>
          </w:p>
          <w:p w:rsidR="002D55C2" w:rsidRDefault="002D55C2" w:rsidP="00A44022">
            <w:pPr>
              <w:rPr>
                <w:rFonts w:cs="Arial"/>
              </w:rPr>
            </w:pPr>
            <w:r w:rsidRPr="002D55C2">
              <w:rPr>
                <w:rFonts w:cs="Arial"/>
              </w:rPr>
              <w:t xml:space="preserve">Stay away from the Red Zone </w:t>
            </w:r>
            <w:r w:rsidR="003D66A1">
              <w:t xml:space="preserve">and be vigilant and take care in low lying coastal areas. Stay out </w:t>
            </w:r>
            <w:r w:rsidRPr="002D55C2">
              <w:rPr>
                <w:rFonts w:cs="Arial"/>
              </w:rPr>
              <w:t>for at least 24 hours after any tsunami warning – even small waves can create dangerous currents.</w:t>
            </w:r>
          </w:p>
          <w:p w:rsidR="002D55C2" w:rsidRPr="002D55C2" w:rsidRDefault="002D55C2" w:rsidP="00A44022">
            <w:pPr>
              <w:rPr>
                <w:rFonts w:cs="Arial"/>
                <w:b/>
              </w:rPr>
            </w:pPr>
            <w:r w:rsidRPr="002D55C2">
              <w:rPr>
                <w:rFonts w:cs="Arial"/>
                <w:b/>
              </w:rPr>
              <w:t>Local customisation – Information on specific local response arrangements should be explained, for example, that public alerts may be through siren, telephone, loud hailer or other arrangements.</w:t>
            </w:r>
          </w:p>
        </w:tc>
      </w:tr>
    </w:tbl>
    <w:p w:rsidR="003A111F" w:rsidRDefault="003A111F" w:rsidP="00A44022"/>
    <w:p w:rsidR="0062146A" w:rsidRDefault="009B1F44" w:rsidP="00A44022">
      <w:pPr>
        <w:pStyle w:val="Heading2"/>
      </w:pPr>
      <w:bookmarkStart w:id="60" w:name="_Toc443381824"/>
      <w:r>
        <w:t xml:space="preserve">Signage for </w:t>
      </w:r>
      <w:r w:rsidR="00721D6A">
        <w:t>tsunami information</w:t>
      </w:r>
      <w:bookmarkEnd w:id="60"/>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2C64D1" w:rsidTr="00DB32E7">
        <w:tc>
          <w:tcPr>
            <w:tcW w:w="1928" w:type="dxa"/>
            <w:tcMar>
              <w:right w:w="227" w:type="dxa"/>
            </w:tcMar>
          </w:tcPr>
          <w:p w:rsidR="002C64D1" w:rsidRPr="00CF5073" w:rsidRDefault="002C64D1" w:rsidP="00A44022">
            <w:pPr>
              <w:pStyle w:val="LHcolumn"/>
            </w:pPr>
          </w:p>
        </w:tc>
        <w:tc>
          <w:tcPr>
            <w:tcW w:w="7711" w:type="dxa"/>
          </w:tcPr>
          <w:p w:rsidR="002C64D1" w:rsidRDefault="002C64D1" w:rsidP="00A44022">
            <w:r>
              <w:t>Signage is an integral part of tsunami risk management. Signage depicting evacuation zones and routes raises public awareness of tsunami risk, and provides information to increase the efficiency and effectiveness of an evacuation. Well placed evacuation signage is the critical link between the emergency response plan and an actual event.</w:t>
            </w:r>
          </w:p>
          <w:p w:rsidR="002C64D1" w:rsidRDefault="002C64D1" w:rsidP="00A44022">
            <w:r>
              <w:t>The next page summarises guidance on types and placement of tsunami signage contained within the National Tsunami Signage Technical Standard (MCDEM 2008a).</w:t>
            </w:r>
          </w:p>
        </w:tc>
      </w:tr>
    </w:tbl>
    <w:p w:rsidR="002C64D1" w:rsidRDefault="002C64D1" w:rsidP="00A44022"/>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9B1F44" w:rsidTr="00DB32E7">
        <w:tc>
          <w:tcPr>
            <w:tcW w:w="1928" w:type="dxa"/>
            <w:tcMar>
              <w:right w:w="227" w:type="dxa"/>
            </w:tcMar>
          </w:tcPr>
          <w:p w:rsidR="009B1F44" w:rsidRPr="00CF5073" w:rsidRDefault="009B1F44" w:rsidP="00A44022">
            <w:pPr>
              <w:pStyle w:val="LHcolumn"/>
            </w:pPr>
          </w:p>
        </w:tc>
        <w:tc>
          <w:tcPr>
            <w:tcW w:w="7711" w:type="dxa"/>
          </w:tcPr>
          <w:p w:rsidR="009B1F44" w:rsidRDefault="002C64D1" w:rsidP="00A44022">
            <w:pPr>
              <w:pStyle w:val="ListParagraph"/>
              <w:numPr>
                <w:ilvl w:val="0"/>
                <w:numId w:val="25"/>
              </w:numPr>
              <w:ind w:left="232" w:hanging="232"/>
              <w:contextualSpacing w:val="0"/>
            </w:pPr>
            <w:r>
              <w:t xml:space="preserve"> </w:t>
            </w:r>
            <w:r w:rsidR="009B1F44">
              <w:t>‘Evacuation Zone’ signs are designed to be placed within the evacuation zones, especially at the coast – to clearly indicate that this place is within the evacuation zone.</w:t>
            </w:r>
          </w:p>
          <w:p w:rsidR="009B1F44" w:rsidRDefault="009B1F44" w:rsidP="00A44022">
            <w:pPr>
              <w:pStyle w:val="ListParagraph"/>
              <w:numPr>
                <w:ilvl w:val="0"/>
                <w:numId w:val="25"/>
              </w:numPr>
              <w:ind w:left="232" w:hanging="232"/>
              <w:contextualSpacing w:val="0"/>
            </w:pPr>
            <w:r>
              <w:t>‘Information Boards’ are intended to house evacuation maps and supporting information. It is critical that Message Priorities (see above) are clearly laid out and prioritised in terms of visual impact and recognition on information boards and maps.</w:t>
            </w:r>
          </w:p>
          <w:p w:rsidR="009B1F44" w:rsidRDefault="009B1F44" w:rsidP="00A44022">
            <w:pPr>
              <w:pStyle w:val="ListParagraph"/>
              <w:numPr>
                <w:ilvl w:val="0"/>
                <w:numId w:val="25"/>
              </w:numPr>
              <w:ind w:left="232" w:hanging="232"/>
              <w:contextualSpacing w:val="0"/>
            </w:pPr>
            <w:r>
              <w:t>‘Evacuation Route’ signs are designed to delineate the route from within the zone to beyond the boundary of the evacuation zone. These signs would be placed on evacuation zone maps after the evacuation routes have been drawn and exercised. For routes where driving may be used for evacuation, these signs must continue for some distance into the safe area to avoid people stopping early and blocking cars behind within the evacuation zone.</w:t>
            </w:r>
          </w:p>
          <w:p w:rsidR="009B1F44" w:rsidRDefault="009B1F44" w:rsidP="00A44022">
            <w:pPr>
              <w:pStyle w:val="ListParagraph"/>
              <w:numPr>
                <w:ilvl w:val="0"/>
                <w:numId w:val="25"/>
              </w:numPr>
              <w:ind w:left="232" w:hanging="232"/>
              <w:contextualSpacing w:val="0"/>
            </w:pPr>
            <w:r>
              <w:t>‘Safe Location’ signs must be within safe areas, and are recommended primarily for walking or cycling evacuation routes because of the potential for drivers to stop at them and block those behind. If used for rou</w:t>
            </w:r>
            <w:r w:rsidR="00FA41A1">
              <w:t xml:space="preserve">tes where driving is possible, </w:t>
            </w:r>
            <w:r>
              <w:t>signs must be a substantial distance within safe areas.</w:t>
            </w:r>
          </w:p>
          <w:p w:rsidR="009B1F44" w:rsidRDefault="009B1F44" w:rsidP="00A44022">
            <w:pPr>
              <w:pStyle w:val="ListParagraph"/>
              <w:numPr>
                <w:ilvl w:val="0"/>
                <w:numId w:val="25"/>
              </w:numPr>
              <w:ind w:left="232" w:hanging="232"/>
              <w:contextualSpacing w:val="0"/>
            </w:pPr>
            <w:r>
              <w:t xml:space="preserve">‘Previous event’ signs, if used, should be for maximum events only, and would be expected by their nature to lie within but near the boundary of the Yellow </w:t>
            </w:r>
            <w:r w:rsidR="0006499A">
              <w:t>Z</w:t>
            </w:r>
            <w:r>
              <w:t>one.</w:t>
            </w:r>
          </w:p>
          <w:p w:rsidR="009B1F44" w:rsidRDefault="009B1F44" w:rsidP="00A44022">
            <w:r>
              <w:t>Maps depicting tsunami evacuation zones, escape routes and tsunami safe areas need to be available as required by the community. It is recommended that maps are available for display in homes, holiday homes, tourist facilities, workplaces and public buildings in areas subject to tsunami risk.</w:t>
            </w:r>
          </w:p>
          <w:p w:rsidR="009B1F44" w:rsidRPr="00253B3D" w:rsidRDefault="009B1F44" w:rsidP="00A44022">
            <w:r>
              <w:t>High-use coastal areas should prominently display evacuation maps as part of tsunami information boards. Maps should be prepared and delivered in conjunction with planned tsunami signage placement, which depict evacuation zones and routes on the ground.</w:t>
            </w:r>
          </w:p>
        </w:tc>
      </w:tr>
    </w:tbl>
    <w:p w:rsidR="003A111F" w:rsidRDefault="003A111F" w:rsidP="00A44022"/>
    <w:p w:rsidR="009B1F44" w:rsidRDefault="009B1F44" w:rsidP="00A44022">
      <w:pPr>
        <w:pStyle w:val="Heading2"/>
      </w:pPr>
      <w:bookmarkStart w:id="61" w:name="_Toc443381825"/>
      <w:r>
        <w:t xml:space="preserve">Community </w:t>
      </w:r>
      <w:r w:rsidR="00721D6A">
        <w:t xml:space="preserve">participation </w:t>
      </w:r>
      <w:r>
        <w:t xml:space="preserve">in </w:t>
      </w:r>
      <w:r w:rsidR="00721D6A">
        <w:t>evacuation planning</w:t>
      </w:r>
      <w:bookmarkEnd w:id="61"/>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2C64D1" w:rsidTr="00DB32E7">
        <w:tc>
          <w:tcPr>
            <w:tcW w:w="1928" w:type="dxa"/>
            <w:tcMar>
              <w:right w:w="227" w:type="dxa"/>
            </w:tcMar>
          </w:tcPr>
          <w:p w:rsidR="002C64D1" w:rsidRPr="00CF5073" w:rsidRDefault="002C64D1" w:rsidP="00A44022">
            <w:pPr>
              <w:pStyle w:val="LHcolumn"/>
            </w:pPr>
          </w:p>
        </w:tc>
        <w:tc>
          <w:tcPr>
            <w:tcW w:w="7711" w:type="dxa"/>
          </w:tcPr>
          <w:p w:rsidR="002C64D1" w:rsidRDefault="002C64D1" w:rsidP="00A44022">
            <w:r>
              <w:t>Part of the vision for a ‘Resilient New Zealand’ is that individuals and communities understand and manage their own hazard risks. It is recommended that arrangements to support this are best developed at the local level. Community groups have local knowledge, established relationships and resources for assisting their own communities.</w:t>
            </w:r>
          </w:p>
          <w:p w:rsidR="002C64D1" w:rsidRDefault="002C64D1" w:rsidP="00A44022">
            <w:r>
              <w:t>Generally it is best when communities are engaged early and often, with opportunities provided for leading plan development. This process may build upon existing community networks and group structures where already established.</w:t>
            </w:r>
          </w:p>
          <w:p w:rsidR="002C64D1" w:rsidRDefault="002C64D1" w:rsidP="00A44022">
            <w:r>
              <w:t>Careful consideration needs to be given to the range of unique stakeholders that may exist, such as transient beach users, holiday home owners, permanent residents, businesses, and recreational boaters.</w:t>
            </w:r>
          </w:p>
        </w:tc>
      </w:tr>
      <w:tr w:rsidR="009B1F44" w:rsidTr="00DB32E7">
        <w:tc>
          <w:tcPr>
            <w:tcW w:w="1928" w:type="dxa"/>
            <w:tcMar>
              <w:right w:w="227" w:type="dxa"/>
            </w:tcMar>
          </w:tcPr>
          <w:p w:rsidR="009B1F44" w:rsidRPr="00CF5073" w:rsidRDefault="009B1F44" w:rsidP="00A44022">
            <w:pPr>
              <w:pStyle w:val="LHcolumn"/>
            </w:pPr>
          </w:p>
        </w:tc>
        <w:tc>
          <w:tcPr>
            <w:tcW w:w="7711" w:type="dxa"/>
          </w:tcPr>
          <w:p w:rsidR="009B1F44" w:rsidRDefault="009B1F44" w:rsidP="00A44022">
            <w:r>
              <w:t>The development of tsunami evacuation plans and maps might be undertaken as a specific emergency planning initiative, or could be approached as one component of a wider programme of community response planning or community development work.</w:t>
            </w:r>
          </w:p>
          <w:p w:rsidR="009B1F44" w:rsidRDefault="009B1F44" w:rsidP="00A44022">
            <w:r>
              <w:t>For example, in several regions the development process for community-led multi-hazard response plans was used to develop tsunami evacuation maps and plans. This included personalisation of maps by adding local features of reference, drafting and testing of evacuation routes, education of the wider community, and planning for regular exercises and revisions. The development process also included specific integration with local public alerting arrangements.</w:t>
            </w:r>
          </w:p>
          <w:p w:rsidR="009B1F44" w:rsidRDefault="009B1F44" w:rsidP="00A44022">
            <w:r>
              <w:t>Specific considerations should be made for:</w:t>
            </w:r>
          </w:p>
          <w:p w:rsidR="009B1F44" w:rsidRDefault="009B1F44" w:rsidP="00A44022">
            <w:pPr>
              <w:pStyle w:val="ListParagraph"/>
              <w:numPr>
                <w:ilvl w:val="0"/>
                <w:numId w:val="26"/>
              </w:numPr>
              <w:contextualSpacing w:val="0"/>
            </w:pPr>
            <w:r>
              <w:t>Travel methods (emphasising walking, running and cycling), and avoiding people coming back in to zones (e.g. to check on family or children)</w:t>
            </w:r>
          </w:p>
          <w:p w:rsidR="009B1F44" w:rsidRDefault="009B1F44" w:rsidP="00A44022">
            <w:pPr>
              <w:pStyle w:val="ListParagraph"/>
              <w:numPr>
                <w:ilvl w:val="0"/>
                <w:numId w:val="26"/>
              </w:numPr>
              <w:contextualSpacing w:val="0"/>
            </w:pPr>
            <w:r>
              <w:t xml:space="preserve">Planning for vulnerable populations (e.g. elderly and children), which reduces the desire for others to come back in to the </w:t>
            </w:r>
            <w:r w:rsidR="0006499A">
              <w:t xml:space="preserve">evacuation </w:t>
            </w:r>
            <w:r>
              <w:t>zone</w:t>
            </w:r>
          </w:p>
          <w:p w:rsidR="009B1F44" w:rsidRDefault="009B1F44" w:rsidP="00A44022">
            <w:pPr>
              <w:pStyle w:val="ListParagraph"/>
              <w:numPr>
                <w:ilvl w:val="0"/>
                <w:numId w:val="26"/>
              </w:numPr>
              <w:contextualSpacing w:val="0"/>
            </w:pPr>
            <w:r>
              <w:t>Welfare at evacuation sites, especially in buildings</w:t>
            </w:r>
            <w:r w:rsidR="001C4F13">
              <w:t>.</w:t>
            </w:r>
          </w:p>
          <w:p w:rsidR="009B1F44" w:rsidRDefault="009B1F44" w:rsidP="00A44022">
            <w:r>
              <w:t>Further planning guidance is available in the:</w:t>
            </w:r>
          </w:p>
          <w:p w:rsidR="00D0231A" w:rsidRDefault="00D0231A" w:rsidP="00A44022">
            <w:pPr>
              <w:pStyle w:val="ListParagraph"/>
              <w:numPr>
                <w:ilvl w:val="0"/>
                <w:numId w:val="27"/>
              </w:numPr>
              <w:contextualSpacing w:val="0"/>
            </w:pPr>
            <w:r>
              <w:t>Mass Evacuation Planning: Director’s Guideline for CDEM Groups [DGL07/08], MCDEM (2008)</w:t>
            </w:r>
          </w:p>
          <w:p w:rsidR="009B1F44" w:rsidRDefault="009B1F44" w:rsidP="00A44022">
            <w:pPr>
              <w:pStyle w:val="ListParagraph"/>
              <w:numPr>
                <w:ilvl w:val="0"/>
                <w:numId w:val="27"/>
              </w:numPr>
              <w:contextualSpacing w:val="0"/>
            </w:pPr>
            <w:r>
              <w:t>Community Engagement in the CDEM context Best Practice Guideline [BPG 4/10]</w:t>
            </w:r>
            <w:r w:rsidR="00610BA8">
              <w:t>, MCDEM (2010)</w:t>
            </w:r>
          </w:p>
          <w:p w:rsidR="009B1F44" w:rsidRPr="00253B3D" w:rsidRDefault="009B1F44" w:rsidP="00A44022">
            <w:pPr>
              <w:pStyle w:val="ListParagraph"/>
              <w:numPr>
                <w:ilvl w:val="0"/>
                <w:numId w:val="27"/>
              </w:numPr>
              <w:contextualSpacing w:val="0"/>
            </w:pPr>
            <w:r>
              <w:t xml:space="preserve">Welfare </w:t>
            </w:r>
            <w:r w:rsidR="00610BA8">
              <w:t>Services in an Emergency:</w:t>
            </w:r>
            <w:r>
              <w:t xml:space="preserve"> Director's Guideline for CDEM Groups</w:t>
            </w:r>
            <w:r w:rsidR="003D597C">
              <w:t xml:space="preserve"> and agencies with responsibilities in an emergency</w:t>
            </w:r>
            <w:r>
              <w:t xml:space="preserve"> [DGL 11/1</w:t>
            </w:r>
            <w:r w:rsidR="003D597C">
              <w:t>5</w:t>
            </w:r>
            <w:r>
              <w:t>]</w:t>
            </w:r>
            <w:r w:rsidR="003D597C">
              <w:t xml:space="preserve">, MCDEM </w:t>
            </w:r>
            <w:r>
              <w:t>(2015)</w:t>
            </w:r>
            <w:r w:rsidR="00D0231A">
              <w:t>.</w:t>
            </w:r>
          </w:p>
        </w:tc>
      </w:tr>
    </w:tbl>
    <w:p w:rsidR="002C64D1" w:rsidRDefault="002C64D1" w:rsidP="00A44022">
      <w:pPr>
        <w:pStyle w:val="Spacer"/>
      </w:pPr>
    </w:p>
    <w:p w:rsidR="00866F4F" w:rsidRDefault="00866F4F" w:rsidP="00A44022">
      <w:pPr>
        <w:pStyle w:val="Heading2"/>
      </w:pPr>
      <w:bookmarkStart w:id="62" w:name="_Toc443381826"/>
      <w:r>
        <w:t xml:space="preserve">Education and </w:t>
      </w:r>
      <w:r w:rsidR="00721D6A">
        <w:t>exercises</w:t>
      </w:r>
      <w:bookmarkEnd w:id="62"/>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1C1F07" w:rsidTr="00DB32E7">
        <w:tc>
          <w:tcPr>
            <w:tcW w:w="1928" w:type="dxa"/>
            <w:tcMar>
              <w:right w:w="227" w:type="dxa"/>
            </w:tcMar>
          </w:tcPr>
          <w:p w:rsidR="001C1F07" w:rsidRPr="00CF5073" w:rsidRDefault="001C1F07" w:rsidP="00A44022">
            <w:pPr>
              <w:pStyle w:val="LHcolumn"/>
            </w:pPr>
          </w:p>
        </w:tc>
        <w:tc>
          <w:tcPr>
            <w:tcW w:w="7711" w:type="dxa"/>
          </w:tcPr>
          <w:p w:rsidR="002C64D1" w:rsidRPr="00C905C3" w:rsidRDefault="00C905C3" w:rsidP="00A44022">
            <w:pPr>
              <w:spacing w:after="0"/>
            </w:pPr>
            <w:r w:rsidRPr="00C905C3">
              <w:t>The dissemination, community engagement and exercising around tsunami maps should be explicitly linked to national and regional tsunami education programmes within the CDEM Group’s work programme.  Planning should include an explicit expectation that tsunami readiness and response arrangements will be regularly (ideally annually) exercised within each community (at the least, for example, by schools).</w:t>
            </w:r>
            <w:r w:rsidR="002C64D1">
              <w:t xml:space="preserve"> </w:t>
            </w:r>
            <w:r w:rsidR="002C64D1" w:rsidRPr="00C905C3">
              <w:t>Public education for tsunami evacuation should take into consideration the following topics:</w:t>
            </w:r>
          </w:p>
          <w:p w:rsidR="002C64D1" w:rsidRPr="00C905C3" w:rsidRDefault="002C64D1" w:rsidP="00A44022">
            <w:pPr>
              <w:pStyle w:val="Bullet"/>
            </w:pPr>
            <w:r w:rsidRPr="00C905C3">
              <w:t>Tsunami basics; different types of warnings for different ts</w:t>
            </w:r>
            <w:r>
              <w:t>unami</w:t>
            </w:r>
            <w:r w:rsidRPr="00C905C3">
              <w:t>,  why the public should take immediate action for natural warnings, how official warnings will be delivered</w:t>
            </w:r>
          </w:p>
          <w:p w:rsidR="002C64D1" w:rsidRPr="00C905C3" w:rsidRDefault="002C64D1" w:rsidP="00A44022">
            <w:pPr>
              <w:pStyle w:val="Bullet"/>
            </w:pPr>
            <w:r w:rsidRPr="00C905C3">
              <w:t>Local evacuation zones</w:t>
            </w:r>
            <w:r>
              <w:t>, routes (including most suitable transport),</w:t>
            </w:r>
            <w:r w:rsidRPr="00C905C3">
              <w:t xml:space="preserve"> and safe locations</w:t>
            </w:r>
          </w:p>
          <w:p w:rsidR="002C64D1" w:rsidRPr="00253B3D" w:rsidRDefault="002C64D1" w:rsidP="00A44022">
            <w:pPr>
              <w:pStyle w:val="Bullet"/>
            </w:pPr>
            <w:r w:rsidRPr="00C905C3">
              <w:t>Evacuation signs; danger zones, route markers, safe location, or other (e.g. blue lines)</w:t>
            </w:r>
            <w:r>
              <w:t>.</w:t>
            </w:r>
          </w:p>
        </w:tc>
      </w:tr>
      <w:tr w:rsidR="002C64D1" w:rsidTr="00DB32E7">
        <w:tc>
          <w:tcPr>
            <w:tcW w:w="1928" w:type="dxa"/>
            <w:tcMar>
              <w:right w:w="227" w:type="dxa"/>
            </w:tcMar>
          </w:tcPr>
          <w:p w:rsidR="002C64D1" w:rsidRPr="00CF5073" w:rsidRDefault="002C64D1" w:rsidP="00A44022">
            <w:pPr>
              <w:pStyle w:val="LHcolumn"/>
            </w:pPr>
          </w:p>
        </w:tc>
        <w:tc>
          <w:tcPr>
            <w:tcW w:w="7711" w:type="dxa"/>
          </w:tcPr>
          <w:p w:rsidR="002C64D1" w:rsidRPr="00C905C3" w:rsidRDefault="002C64D1" w:rsidP="00A44022">
            <w:pPr>
              <w:spacing w:after="0"/>
            </w:pPr>
            <w:r w:rsidRPr="00C905C3">
              <w:t>A variety of methods for sharing such information will provide the greatest coverage. Methods could involve:</w:t>
            </w:r>
          </w:p>
          <w:p w:rsidR="002C64D1" w:rsidRPr="00C905C3" w:rsidRDefault="002C64D1" w:rsidP="00A44022">
            <w:pPr>
              <w:pStyle w:val="Bullet"/>
            </w:pPr>
            <w:r w:rsidRPr="00C905C3">
              <w:t>Meetings with education providers, businesses and other community organisations</w:t>
            </w:r>
          </w:p>
          <w:p w:rsidR="002C64D1" w:rsidRPr="00C905C3" w:rsidRDefault="002C64D1" w:rsidP="00A44022">
            <w:pPr>
              <w:pStyle w:val="Bullet"/>
            </w:pPr>
            <w:r w:rsidRPr="00C905C3">
              <w:t>Public meetings and workshops</w:t>
            </w:r>
          </w:p>
          <w:p w:rsidR="002C64D1" w:rsidRPr="00C905C3" w:rsidRDefault="002C64D1" w:rsidP="00A44022">
            <w:pPr>
              <w:pStyle w:val="Bullet"/>
            </w:pPr>
            <w:r w:rsidRPr="00C905C3">
              <w:t>Printed materials (billboards, pamphlets, newspaper materials)</w:t>
            </w:r>
          </w:p>
          <w:p w:rsidR="002C64D1" w:rsidRPr="00C905C3" w:rsidRDefault="002C64D1" w:rsidP="00A44022">
            <w:pPr>
              <w:pStyle w:val="Bullet"/>
            </w:pPr>
            <w:r w:rsidRPr="00C905C3">
              <w:t>Website and social media materials including videos blogs</w:t>
            </w:r>
          </w:p>
          <w:p w:rsidR="002C64D1" w:rsidRPr="00C905C3" w:rsidRDefault="002C64D1" w:rsidP="00A44022">
            <w:pPr>
              <w:pStyle w:val="Bullet"/>
            </w:pPr>
            <w:r w:rsidRPr="00C905C3">
              <w:t xml:space="preserve">Local radio broadcasts </w:t>
            </w:r>
          </w:p>
          <w:p w:rsidR="002C64D1" w:rsidRPr="00C905C3" w:rsidRDefault="002C64D1" w:rsidP="00A44022">
            <w:pPr>
              <w:pStyle w:val="Bullet"/>
            </w:pPr>
            <w:r w:rsidRPr="00C905C3">
              <w:t>Displays at community events</w:t>
            </w:r>
          </w:p>
          <w:p w:rsidR="002C64D1" w:rsidRPr="00C905C3" w:rsidRDefault="002C64D1" w:rsidP="00A44022">
            <w:pPr>
              <w:pStyle w:val="Bullet"/>
            </w:pPr>
            <w:r w:rsidRPr="00C905C3">
              <w:t>“Ask a scientist” sessions</w:t>
            </w:r>
          </w:p>
          <w:p w:rsidR="002C64D1" w:rsidRPr="00C905C3" w:rsidRDefault="002C64D1" w:rsidP="00A44022">
            <w:pPr>
              <w:pStyle w:val="Bullet"/>
            </w:pPr>
            <w:r w:rsidRPr="00C905C3">
              <w:t xml:space="preserve">Community drills </w:t>
            </w:r>
            <w:r>
              <w:t xml:space="preserve">and exercises </w:t>
            </w:r>
            <w:r w:rsidRPr="00C905C3">
              <w:t>to test evacuation routes e.g. Hawke’s Bay “Get ready get thru the vines</w:t>
            </w:r>
            <w:proofErr w:type="gramStart"/>
            <w:r w:rsidRPr="00C905C3">
              <w:t>”</w:t>
            </w:r>
            <w:r>
              <w:t>(</w:t>
            </w:r>
            <w:proofErr w:type="gramEnd"/>
            <w:r>
              <w:t>see Leonard et all 2011).</w:t>
            </w:r>
          </w:p>
          <w:p w:rsidR="002C64D1" w:rsidRPr="00C905C3" w:rsidRDefault="002C64D1" w:rsidP="00A44022">
            <w:pPr>
              <w:spacing w:after="0"/>
            </w:pPr>
            <w:r w:rsidRPr="00C905C3">
              <w:t xml:space="preserve">Community education initiatives for tsunami can often be incorporated with other community safety or community development activities. </w:t>
            </w:r>
          </w:p>
          <w:p w:rsidR="002C64D1" w:rsidRPr="00C905C3" w:rsidRDefault="002C64D1" w:rsidP="00A44022">
            <w:pPr>
              <w:spacing w:after="0"/>
            </w:pPr>
            <w:r w:rsidRPr="00C905C3">
              <w:t xml:space="preserve">Evacuation drills involve coordinated mass testing of evacuation routes and safe locations. Evacuation drills provide the opportunity for conducting evaluations of routes (through feedback such as surveys). Questionnaires on accessibility, timing, location of route markers etc. can be provided to groups and individuals to determine whether any adjustments to the routes or public education materials are required. Evacuation drills can provide community cohesion benefits alongside the public education benefits, through more able participants assisting or planning to assist the less able.     </w:t>
            </w:r>
          </w:p>
          <w:p w:rsidR="002C64D1" w:rsidRDefault="002C64D1" w:rsidP="00A44022">
            <w:r w:rsidRPr="00C905C3">
              <w:t xml:space="preserve">For walking evacuation routes, a cross section of participants with varying levels of mobility is preferred to determine whether assistance will be required for less mobile people such as the elderly or re-school children. The suitability of routes for daytime and night-time should also be tested, and if necessary advice on carrying a light source may need to be added to public education materials.  Vehicle (bicycle and car) recommended routes should likewise be tested to determine whether any impediments such as congestion or road blockage could impede evacuation. Any impediments to access such as lockable gates on the route should also be identified and planned for accordingly. The suitability of the safe location for sheltering evacuees should be discussed with at-risk communities and advice provided on appropriate supplies to be carried (e.g. water, warm clothing) should evacuation be required. </w:t>
            </w:r>
          </w:p>
          <w:p w:rsidR="002C64D1" w:rsidRPr="00C905C3" w:rsidRDefault="002C64D1" w:rsidP="00A44022">
            <w:pPr>
              <w:spacing w:after="0"/>
            </w:pPr>
          </w:p>
        </w:tc>
      </w:tr>
    </w:tbl>
    <w:p w:rsidR="002C64D1" w:rsidRDefault="002C64D1" w:rsidP="00A44022"/>
    <w:p w:rsidR="002C64D1" w:rsidRDefault="002C64D1" w:rsidP="00A44022">
      <w:pPr>
        <w:spacing w:before="0" w:after="0" w:line="240" w:lineRule="auto"/>
      </w:pPr>
      <w:r>
        <w:br w:type="page"/>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B30683" w:rsidTr="00DB32E7">
        <w:tc>
          <w:tcPr>
            <w:tcW w:w="1928" w:type="dxa"/>
            <w:tcMar>
              <w:right w:w="227" w:type="dxa"/>
            </w:tcMar>
          </w:tcPr>
          <w:p w:rsidR="00B30683" w:rsidRPr="00CF5073" w:rsidRDefault="00B30683" w:rsidP="00A44022">
            <w:pPr>
              <w:pStyle w:val="LHcolumn"/>
            </w:pPr>
            <w:r>
              <w:lastRenderedPageBreak/>
              <w:t xml:space="preserve">Message </w:t>
            </w:r>
            <w:r w:rsidR="00721D6A">
              <w:t>priorities</w:t>
            </w:r>
          </w:p>
        </w:tc>
        <w:tc>
          <w:tcPr>
            <w:tcW w:w="7711" w:type="dxa"/>
          </w:tcPr>
          <w:p w:rsidR="00B30683" w:rsidRDefault="00B30683" w:rsidP="00A44022">
            <w:r>
              <w:t>The most important message (</w:t>
            </w:r>
            <w:r w:rsidR="0086276C">
              <w:t>P</w:t>
            </w:r>
            <w:r>
              <w:t xml:space="preserve">riority 1) that should be large and the </w:t>
            </w:r>
            <w:r w:rsidR="00D0231A">
              <w:t xml:space="preserve">clear </w:t>
            </w:r>
            <w:r>
              <w:t xml:space="preserve">focal point for people looking at the map (and in education) is the natural warning and evacuation action (See </w:t>
            </w:r>
            <w:r w:rsidR="006307FB">
              <w:fldChar w:fldCharType="begin"/>
            </w:r>
            <w:r w:rsidR="006307FB">
              <w:instrText xml:space="preserve"> REF _Ref442785543 \h </w:instrText>
            </w:r>
            <w:r w:rsidR="006307FB">
              <w:fldChar w:fldCharType="separate"/>
            </w:r>
            <w:r w:rsidR="009B2134">
              <w:t xml:space="preserve">Figure </w:t>
            </w:r>
            <w:r w:rsidR="009B2134">
              <w:rPr>
                <w:noProof/>
              </w:rPr>
              <w:t>9</w:t>
            </w:r>
            <w:r w:rsidR="006307FB">
              <w:fldChar w:fldCharType="end"/>
            </w:r>
            <w:r>
              <w:t xml:space="preserve"> </w:t>
            </w:r>
            <w:r w:rsidR="004A7FD1">
              <w:t xml:space="preserve">on the next page </w:t>
            </w:r>
            <w:r>
              <w:t xml:space="preserve">and especially </w:t>
            </w:r>
            <w:r w:rsidR="006307FB">
              <w:fldChar w:fldCharType="begin"/>
            </w:r>
            <w:r w:rsidR="006307FB">
              <w:instrText xml:space="preserve"> REF _Ref442785551 \h </w:instrText>
            </w:r>
            <w:r w:rsidR="006307FB">
              <w:fldChar w:fldCharType="separate"/>
            </w:r>
            <w:r w:rsidR="009B2134" w:rsidRPr="00A44022">
              <w:t xml:space="preserve">Figure </w:t>
            </w:r>
            <w:r w:rsidR="009B2134">
              <w:rPr>
                <w:noProof/>
              </w:rPr>
              <w:t>10</w:t>
            </w:r>
            <w:r w:rsidR="006307FB">
              <w:fldChar w:fldCharType="end"/>
            </w:r>
            <w:r w:rsidR="004A7FD1">
              <w:t xml:space="preserve"> on page </w:t>
            </w:r>
            <w:r w:rsidR="004A7FD1">
              <w:fldChar w:fldCharType="begin"/>
            </w:r>
            <w:r w:rsidR="004A7FD1">
              <w:instrText xml:space="preserve"> PAGEREF _Ref442785641 \h </w:instrText>
            </w:r>
            <w:r w:rsidR="004A7FD1">
              <w:fldChar w:fldCharType="separate"/>
            </w:r>
            <w:r w:rsidR="009B2134">
              <w:rPr>
                <w:noProof/>
              </w:rPr>
              <w:t>32</w:t>
            </w:r>
            <w:r w:rsidR="004A7FD1">
              <w:fldChar w:fldCharType="end"/>
            </w:r>
            <w:r>
              <w:t>, both are examples emphasising this text). In a natural warning, people must act immediately to recall th</w:t>
            </w:r>
            <w:r w:rsidR="00D0231A">
              <w:t>e</w:t>
            </w:r>
            <w:r>
              <w:t xml:space="preserve"> </w:t>
            </w:r>
            <w:r w:rsidR="00D0231A">
              <w:t>most important</w:t>
            </w:r>
            <w:r>
              <w:t xml:space="preserve"> message</w:t>
            </w:r>
            <w:r w:rsidR="00D0231A">
              <w:t xml:space="preserve"> (from above)</w:t>
            </w:r>
            <w:r>
              <w:t xml:space="preserve"> without seeking further information. The message is:</w:t>
            </w:r>
          </w:p>
          <w:p w:rsidR="00B30683" w:rsidRPr="00B30683" w:rsidRDefault="0086276C" w:rsidP="00A44022">
            <w:pPr>
              <w:pStyle w:val="ListParagraph"/>
              <w:numPr>
                <w:ilvl w:val="0"/>
                <w:numId w:val="22"/>
              </w:numPr>
              <w:contextualSpacing w:val="0"/>
              <w:rPr>
                <w:b/>
              </w:rPr>
            </w:pPr>
            <w:r>
              <w:rPr>
                <w:b/>
              </w:rPr>
              <w:t>“</w:t>
            </w:r>
            <w:r w:rsidR="00B30683" w:rsidRPr="00B30683">
              <w:rPr>
                <w:b/>
              </w:rPr>
              <w:t>In a long OR strong earthquake evacuate all zones.</w:t>
            </w:r>
            <w:r>
              <w:rPr>
                <w:b/>
              </w:rPr>
              <w:t>”</w:t>
            </w:r>
          </w:p>
          <w:p w:rsidR="00B30683" w:rsidRDefault="00B30683" w:rsidP="00A44022">
            <w:r>
              <w:t>The second priority message explains exactly how long or strong:</w:t>
            </w:r>
          </w:p>
          <w:p w:rsidR="00B30683" w:rsidRDefault="00B30683" w:rsidP="00A44022">
            <w:pPr>
              <w:pStyle w:val="ListParagraph"/>
              <w:numPr>
                <w:ilvl w:val="0"/>
                <w:numId w:val="22"/>
              </w:numPr>
              <w:contextualSpacing w:val="0"/>
            </w:pPr>
            <w:r>
              <w:t>Longer than a minute OR hard to stand up, but doesn’t have to be both.</w:t>
            </w:r>
          </w:p>
          <w:p w:rsidR="00B30683" w:rsidRDefault="00B30683" w:rsidP="00A44022">
            <w:r>
              <w:t>The third priority is explaining what to do in an official warning, because this education can be delivered with the warning message itself:</w:t>
            </w:r>
          </w:p>
          <w:p w:rsidR="00B30683" w:rsidRDefault="00B30683" w:rsidP="00A44022">
            <w:pPr>
              <w:pStyle w:val="ListParagraph"/>
              <w:numPr>
                <w:ilvl w:val="0"/>
                <w:numId w:val="22"/>
              </w:numPr>
              <w:contextualSpacing w:val="0"/>
            </w:pPr>
            <w:r>
              <w:t>In an official warning you will be told which zone(s) to evacuate.</w:t>
            </w:r>
          </w:p>
          <w:p w:rsidR="00B30683" w:rsidRDefault="00B30683" w:rsidP="00A44022">
            <w:r>
              <w:t>All other tsunami behaviour and education information (‘Warning and evacuation information on maps’ section below) is a fourth order priority.</w:t>
            </w:r>
          </w:p>
        </w:tc>
      </w:tr>
    </w:tbl>
    <w:p w:rsidR="004F3ED0" w:rsidRDefault="004F3ED0" w:rsidP="00A44022">
      <w:pPr>
        <w:rPr>
          <w:rFonts w:cs="Arial"/>
          <w:b/>
          <w:sz w:val="24"/>
          <w:highlight w:val="yellow"/>
        </w:rPr>
      </w:pPr>
    </w:p>
    <w:p w:rsidR="006B6104" w:rsidRDefault="006B6104" w:rsidP="00A44022">
      <w:pPr>
        <w:rPr>
          <w:rFonts w:cs="Arial"/>
          <w:b/>
          <w:sz w:val="24"/>
          <w:highlight w:val="yellow"/>
        </w:rPr>
      </w:pPr>
    </w:p>
    <w:p w:rsidR="00D2131A" w:rsidRPr="00EF3C05" w:rsidRDefault="00F75989" w:rsidP="00A44022">
      <w:pPr>
        <w:pStyle w:val="CaptionFigure"/>
        <w:jc w:val="left"/>
      </w:pPr>
      <w:r>
        <w:rPr>
          <w:noProof/>
          <w:lang w:eastAsia="en-NZ"/>
        </w:rPr>
        <w:lastRenderedPageBreak/>
        <mc:AlternateContent>
          <mc:Choice Requires="wps">
            <w:drawing>
              <wp:anchor distT="0" distB="0" distL="114300" distR="114300" simplePos="0" relativeHeight="251737088" behindDoc="0" locked="0" layoutInCell="1" allowOverlap="1" wp14:anchorId="3E852B9B" wp14:editId="15E6B7DF">
                <wp:simplePos x="0" y="0"/>
                <wp:positionH relativeFrom="column">
                  <wp:posOffset>246380</wp:posOffset>
                </wp:positionH>
                <wp:positionV relativeFrom="paragraph">
                  <wp:posOffset>7786370</wp:posOffset>
                </wp:positionV>
                <wp:extent cx="5573395" cy="6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573395" cy="635"/>
                        </a:xfrm>
                        <a:prstGeom prst="rect">
                          <a:avLst/>
                        </a:prstGeom>
                        <a:solidFill>
                          <a:prstClr val="white"/>
                        </a:solidFill>
                        <a:ln>
                          <a:noFill/>
                        </a:ln>
                        <a:effectLst/>
                      </wps:spPr>
                      <wps:txbx>
                        <w:txbxContent>
                          <w:p w:rsidR="00953989" w:rsidRPr="00370A3B" w:rsidRDefault="00953989" w:rsidP="00F75989">
                            <w:pPr>
                              <w:pStyle w:val="Caption"/>
                              <w:rPr>
                                <w:rFonts w:ascii="Arial" w:eastAsia="Times New Roman" w:hAnsi="Arial" w:cs="Arial"/>
                                <w:noProof/>
                                <w:kern w:val="32"/>
                                <w:sz w:val="24"/>
                              </w:rPr>
                            </w:pPr>
                            <w:bookmarkStart w:id="63" w:name="_Ref442785543"/>
                            <w:bookmarkStart w:id="64" w:name="_Ref442785634"/>
                            <w:r>
                              <w:t xml:space="preserve">Figure </w:t>
                            </w:r>
                            <w:fldSimple w:instr=" SEQ Figure \* ARABIC ">
                              <w:r w:rsidR="009B2134">
                                <w:rPr>
                                  <w:noProof/>
                                </w:rPr>
                                <w:t>9</w:t>
                              </w:r>
                            </w:fldSimple>
                            <w:bookmarkEnd w:id="63"/>
                            <w:r>
                              <w:t xml:space="preserve"> </w:t>
                            </w:r>
                            <w:r w:rsidRPr="00F75989">
                              <w:t>Example map from Wellington using grey scale shaded relief digital elevation model as a base. This map is provided with a separate sheet attached giving details from ‘Warning and Evacuation Information on Maps’ section</w:t>
                            </w:r>
                            <w:r>
                              <w:t>.</w:t>
                            </w:r>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4pt;margin-top:613.1pt;width:438.85pt;height:.0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" stroked="f">
                <v:textbox style="mso-fit-shape-to-text:t" inset="0,0,0,0">
                  <w:txbxContent>
                    <w:p w:rsidR="00953989" w:rsidRPr="00370A3B" w:rsidRDefault="00953989" w:rsidP="00F75989">
                      <w:pPr>
                        <w:pStyle w:val="Caption"/>
                        <w:rPr>
                          <w:rFonts w:ascii="Arial" w:eastAsia="Times New Roman" w:hAnsi="Arial" w:cs="Arial"/>
                          <w:noProof/>
                          <w:kern w:val="32"/>
                          <w:sz w:val="24"/>
                        </w:rPr>
                      </w:pPr>
                      <w:bookmarkStart w:id="64" w:name="_Ref442785543"/>
                      <w:bookmarkStart w:id="65" w:name="_Ref442785634"/>
                      <w:r>
                        <w:t xml:space="preserve">Figure </w:t>
                      </w:r>
                      <w:fldSimple w:instr=" SEQ Figure \* ARABIC ">
                        <w:r w:rsidR="009B2134">
                          <w:rPr>
                            <w:noProof/>
                          </w:rPr>
                          <w:t>9</w:t>
                        </w:r>
                      </w:fldSimple>
                      <w:bookmarkEnd w:id="64"/>
                      <w:r>
                        <w:t xml:space="preserve"> </w:t>
                      </w:r>
                      <w:r w:rsidRPr="00F75989">
                        <w:t>Example map from Wellington using grey scale shaded relief digital elevation model as a base. This map is provided with a separate sheet attached giving details from ‘Warning and Evacuation Information on Maps’ section</w:t>
                      </w:r>
                      <w:r>
                        <w:t>.</w:t>
                      </w:r>
                      <w:bookmarkEnd w:id="65"/>
                    </w:p>
                  </w:txbxContent>
                </v:textbox>
                <w10:wrap type="square"/>
              </v:shape>
            </w:pict>
          </mc:Fallback>
        </mc:AlternateContent>
      </w:r>
      <w:r w:rsidR="00A1192A">
        <w:rPr>
          <w:b/>
          <w:noProof/>
          <w:sz w:val="24"/>
          <w:lang w:eastAsia="en-NZ"/>
        </w:rPr>
        <w:drawing>
          <wp:anchor distT="0" distB="0" distL="114300" distR="114300" simplePos="0" relativeHeight="251724800" behindDoc="0" locked="0" layoutInCell="1" allowOverlap="1" wp14:anchorId="4F28A254" wp14:editId="64E852D2">
            <wp:simplePos x="0" y="0"/>
            <wp:positionH relativeFrom="margin">
              <wp:posOffset>246380</wp:posOffset>
            </wp:positionH>
            <wp:positionV relativeFrom="margin">
              <wp:posOffset>-168275</wp:posOffset>
            </wp:positionV>
            <wp:extent cx="5573395" cy="7897495"/>
            <wp:effectExtent l="0" t="0" r="8255" b="8255"/>
            <wp:wrapSquare wrapText="bothSides"/>
            <wp:docPr id="34" name="Picture 34" descr="This image shows an example map from Wellington using grey scale shaded relief digital elevation model as a base. This map is provided with a separate sheet attached giving details from ‘Warning and Evacuation Information on Maps’ section."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p A4"/>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93" t="-598" r="-593" b="-598"/>
                    <a:stretch/>
                  </pic:blipFill>
                  <pic:spPr bwMode="auto">
                    <a:xfrm>
                      <a:off x="0" y="0"/>
                      <a:ext cx="5573395" cy="7897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6C3E" w:rsidRDefault="002F6C3E" w:rsidP="00A44022">
      <w:pPr>
        <w:rPr>
          <w:rFonts w:cs="Arial"/>
          <w:b/>
          <w:sz w:val="24"/>
          <w:highlight w:val="yellow"/>
        </w:rPr>
        <w:sectPr w:rsidR="002F6C3E" w:rsidSect="002C64D1">
          <w:pgSz w:w="11907" w:h="16840" w:code="9"/>
          <w:pgMar w:top="1191" w:right="1021" w:bottom="709" w:left="1361" w:header="568" w:footer="340" w:gutter="0"/>
          <w:cols w:space="720"/>
          <w:docGrid w:linePitch="326"/>
        </w:sectPr>
      </w:pPr>
    </w:p>
    <w:p w:rsidR="00F75989" w:rsidRDefault="002F6C3E" w:rsidP="00486EEC">
      <w:pPr>
        <w:keepNext/>
        <w:jc w:val="center"/>
      </w:pPr>
      <w:r>
        <w:rPr>
          <w:rFonts w:ascii="Calibri" w:hAnsi="Calibri"/>
          <w:noProof/>
          <w:sz w:val="24"/>
          <w:lang w:eastAsia="en-NZ"/>
        </w:rPr>
        <w:lastRenderedPageBreak/>
        <w:drawing>
          <wp:inline distT="0" distB="0" distL="0" distR="0" wp14:anchorId="3FBE281E" wp14:editId="7D15DAF7">
            <wp:extent cx="7730696" cy="5469056"/>
            <wp:effectExtent l="0" t="0" r="3810" b="0"/>
            <wp:docPr id="35" name="Picture 35" descr="This image shows an evacuation map example from Hawkes Bay using an air photo base and including warning and evacuation information on the map face. Note the Orange Zone boundary has been moved inland to meet cultural and landscape features, whereas the Yellow Zone boundary has not." title="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BRC_NZTM_Tsunami_A4Landsc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730796" cy="5469127"/>
                    </a:xfrm>
                    <a:prstGeom prst="rect">
                      <a:avLst/>
                    </a:prstGeom>
                    <a:noFill/>
                    <a:ln>
                      <a:noFill/>
                    </a:ln>
                  </pic:spPr>
                </pic:pic>
              </a:graphicData>
            </a:graphic>
          </wp:inline>
        </w:drawing>
      </w:r>
    </w:p>
    <w:p w:rsidR="002F6C3E" w:rsidRPr="00A44022" w:rsidRDefault="00F75989" w:rsidP="00A44022">
      <w:pPr>
        <w:pStyle w:val="Caption"/>
        <w:rPr>
          <w:highlight w:val="yellow"/>
        </w:rPr>
      </w:pPr>
      <w:bookmarkStart w:id="65" w:name="_Ref442785551"/>
      <w:bookmarkStart w:id="66" w:name="_Ref442785641"/>
      <w:r w:rsidRPr="00A44022">
        <w:t xml:space="preserve">Figure </w:t>
      </w:r>
      <w:fldSimple w:instr=" SEQ Figure \* ARABIC ">
        <w:r w:rsidR="009B2134">
          <w:rPr>
            <w:noProof/>
          </w:rPr>
          <w:t>10</w:t>
        </w:r>
      </w:fldSimple>
      <w:bookmarkEnd w:id="65"/>
      <w:r w:rsidRPr="00A44022">
        <w:t xml:space="preserve"> Evacuation map example from Hawkes Bay using an air photo base and including warning and evacuation information on the map face. Note the Orange Zone boundary has been moved inland to meet cultural and landscape features, whereas the Yellow Zone boundary has not.</w:t>
      </w:r>
      <w:bookmarkEnd w:id="66"/>
    </w:p>
    <w:p w:rsidR="002F6C3E" w:rsidRDefault="002F6C3E" w:rsidP="00A44022">
      <w:pPr>
        <w:pStyle w:val="Clientbody"/>
        <w:jc w:val="left"/>
        <w:rPr>
          <w:rFonts w:cs="Arial"/>
          <w:sz w:val="24"/>
          <w:highlight w:val="yellow"/>
        </w:rPr>
        <w:sectPr w:rsidR="002F6C3E" w:rsidSect="001C747A">
          <w:pgSz w:w="16840" w:h="11907" w:orient="landscape" w:code="9"/>
          <w:pgMar w:top="1361" w:right="1191" w:bottom="1021" w:left="794" w:header="568" w:footer="340" w:gutter="0"/>
          <w:cols w:space="720"/>
          <w:docGrid w:linePitch="326"/>
        </w:sectPr>
      </w:pPr>
    </w:p>
    <w:p w:rsidR="00B30683" w:rsidRDefault="009B1F44" w:rsidP="00A44022">
      <w:pPr>
        <w:pStyle w:val="Heading2"/>
      </w:pPr>
      <w:bookmarkStart w:id="67" w:name="_Ref442786146"/>
      <w:bookmarkStart w:id="68" w:name="_Ref442786151"/>
      <w:bookmarkStart w:id="69" w:name="_Ref442786153"/>
      <w:bookmarkStart w:id="70" w:name="_Toc443381827"/>
      <w:r>
        <w:lastRenderedPageBreak/>
        <w:t xml:space="preserve">Advice for </w:t>
      </w:r>
      <w:r w:rsidR="00721D6A">
        <w:t>ports</w:t>
      </w:r>
      <w:r>
        <w:t xml:space="preserve">, </w:t>
      </w:r>
      <w:r w:rsidR="00721D6A">
        <w:t xml:space="preserve">shipping </w:t>
      </w:r>
      <w:r>
        <w:t xml:space="preserve">and </w:t>
      </w:r>
      <w:r w:rsidR="00721D6A">
        <w:t xml:space="preserve">people </w:t>
      </w:r>
      <w:r>
        <w:t xml:space="preserve">in </w:t>
      </w:r>
      <w:r w:rsidR="00721D6A">
        <w:t>boats</w:t>
      </w:r>
      <w:bookmarkEnd w:id="67"/>
      <w:bookmarkEnd w:id="68"/>
      <w:bookmarkEnd w:id="69"/>
      <w:bookmarkEnd w:id="70"/>
    </w:p>
    <w:tbl>
      <w:tblPr>
        <w:tblStyle w:val="TableGrid2"/>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9B1F44" w:rsidRPr="009B1F44" w:rsidTr="00DB32E7">
        <w:tc>
          <w:tcPr>
            <w:tcW w:w="1928" w:type="dxa"/>
            <w:tcMar>
              <w:right w:w="227" w:type="dxa"/>
            </w:tcMar>
          </w:tcPr>
          <w:p w:rsidR="009B1F44" w:rsidRPr="009B1F44" w:rsidRDefault="009B1F44" w:rsidP="00A44022">
            <w:pPr>
              <w:rPr>
                <w:rFonts w:ascii="Arial Narrow" w:hAnsi="Arial Narrow"/>
                <w:b/>
                <w:color w:val="005A9B" w:themeColor="background2"/>
                <w:lang w:eastAsia="en-US"/>
              </w:rPr>
            </w:pPr>
          </w:p>
        </w:tc>
        <w:tc>
          <w:tcPr>
            <w:tcW w:w="7711" w:type="dxa"/>
          </w:tcPr>
          <w:p w:rsidR="00546C97" w:rsidRDefault="009B1F44" w:rsidP="00A44022">
            <w:pPr>
              <w:rPr>
                <w:lang w:eastAsia="en-US"/>
              </w:rPr>
            </w:pPr>
            <w:r w:rsidRPr="00952106">
              <w:rPr>
                <w:lang w:eastAsia="en-US"/>
              </w:rPr>
              <w:t xml:space="preserve">The following advice titled “Tsunami Evacuation Minimum Safe Distance for Boats” was developed for </w:t>
            </w:r>
            <w:r w:rsidR="00063248" w:rsidRPr="00952106">
              <w:rPr>
                <w:lang w:eastAsia="en-US"/>
              </w:rPr>
              <w:t>Hawke</w:t>
            </w:r>
            <w:r w:rsidR="000F161F" w:rsidRPr="00952106">
              <w:rPr>
                <w:lang w:eastAsia="en-US"/>
              </w:rPr>
              <w:t>’</w:t>
            </w:r>
            <w:r w:rsidR="00063248" w:rsidRPr="00952106">
              <w:rPr>
                <w:lang w:eastAsia="en-US"/>
              </w:rPr>
              <w:t>s Bay</w:t>
            </w:r>
            <w:r w:rsidRPr="00952106">
              <w:rPr>
                <w:lang w:eastAsia="en-US"/>
              </w:rPr>
              <w:t xml:space="preserve"> (see </w:t>
            </w:r>
            <w:r w:rsidR="003E1520">
              <w:fldChar w:fldCharType="begin"/>
            </w:r>
            <w:r w:rsidR="003E1520">
              <w:rPr>
                <w:lang w:eastAsia="en-US"/>
              </w:rPr>
              <w:instrText xml:space="preserve"> REF _Ref442785602 \h </w:instrText>
            </w:r>
            <w:r w:rsidR="003E1520">
              <w:fldChar w:fldCharType="separate"/>
            </w:r>
            <w:r w:rsidR="009B2134" w:rsidRPr="00A44022">
              <w:t xml:space="preserve">Figure </w:t>
            </w:r>
            <w:r w:rsidR="009B2134">
              <w:rPr>
                <w:noProof/>
              </w:rPr>
              <w:t>11</w:t>
            </w:r>
            <w:r w:rsidR="003E1520">
              <w:fldChar w:fldCharType="end"/>
            </w:r>
            <w:r w:rsidR="003E1520">
              <w:rPr>
                <w:lang w:eastAsia="en-US"/>
              </w:rPr>
              <w:t xml:space="preserve"> on the next page</w:t>
            </w:r>
            <w:r w:rsidRPr="00952106">
              <w:rPr>
                <w:lang w:eastAsia="en-US"/>
              </w:rPr>
              <w:t>)</w:t>
            </w:r>
            <w:r w:rsidR="00A1352D" w:rsidRPr="00952106">
              <w:rPr>
                <w:lang w:eastAsia="en-US"/>
              </w:rPr>
              <w:t>,</w:t>
            </w:r>
            <w:r w:rsidRPr="00952106">
              <w:rPr>
                <w:lang w:eastAsia="en-US"/>
              </w:rPr>
              <w:t xml:space="preserve"> </w:t>
            </w:r>
            <w:r w:rsidR="009B1363" w:rsidRPr="00952106">
              <w:rPr>
                <w:lang w:eastAsia="en-US"/>
              </w:rPr>
              <w:t>and</w:t>
            </w:r>
            <w:r w:rsidRPr="00952106">
              <w:rPr>
                <w:lang w:eastAsia="en-US"/>
              </w:rPr>
              <w:t xml:space="preserve"> can be adapted to other </w:t>
            </w:r>
            <w:r w:rsidR="00063248" w:rsidRPr="00952106">
              <w:rPr>
                <w:lang w:eastAsia="en-US"/>
              </w:rPr>
              <w:t>marine areas</w:t>
            </w:r>
            <w:r w:rsidRPr="00952106">
              <w:rPr>
                <w:lang w:eastAsia="en-US"/>
              </w:rPr>
              <w:t xml:space="preserve">. </w:t>
            </w:r>
          </w:p>
          <w:p w:rsidR="00546C97" w:rsidRDefault="00D76693" w:rsidP="00A44022">
            <w:pPr>
              <w:rPr>
                <w:lang w:eastAsia="en-US"/>
              </w:rPr>
            </w:pPr>
            <w:r w:rsidRPr="00952106">
              <w:rPr>
                <w:lang w:eastAsia="en-US"/>
              </w:rPr>
              <w:t>T</w:t>
            </w:r>
            <w:r w:rsidR="009B1F44" w:rsidRPr="00952106">
              <w:rPr>
                <w:lang w:eastAsia="en-US"/>
              </w:rPr>
              <w:t xml:space="preserve">sunami </w:t>
            </w:r>
            <w:r w:rsidR="00DF545C" w:rsidRPr="00952106">
              <w:rPr>
                <w:lang w:eastAsia="en-US"/>
              </w:rPr>
              <w:t>risk profiles</w:t>
            </w:r>
            <w:r w:rsidRPr="00952106">
              <w:rPr>
                <w:lang w:eastAsia="en-US"/>
              </w:rPr>
              <w:t xml:space="preserve"> for </w:t>
            </w:r>
            <w:r w:rsidR="00C41181" w:rsidRPr="00952106">
              <w:rPr>
                <w:lang w:eastAsia="en-US"/>
              </w:rPr>
              <w:t xml:space="preserve">a </w:t>
            </w:r>
            <w:r w:rsidRPr="00952106">
              <w:rPr>
                <w:lang w:eastAsia="en-US"/>
              </w:rPr>
              <w:t>local marine area</w:t>
            </w:r>
            <w:r w:rsidR="00A1352D" w:rsidRPr="00952106">
              <w:rPr>
                <w:lang w:eastAsia="en-US"/>
              </w:rPr>
              <w:t>,</w:t>
            </w:r>
            <w:r w:rsidR="00DF545C" w:rsidRPr="00952106">
              <w:rPr>
                <w:lang w:eastAsia="en-US"/>
              </w:rPr>
              <w:t xml:space="preserve"> </w:t>
            </w:r>
            <w:r w:rsidR="00A1352D" w:rsidRPr="00952106">
              <w:rPr>
                <w:lang w:eastAsia="en-US"/>
              </w:rPr>
              <w:t xml:space="preserve">in terms of likely travel times of the most plausible tsunami waves from </w:t>
            </w:r>
            <w:r w:rsidR="00C41181" w:rsidRPr="00952106">
              <w:rPr>
                <w:lang w:eastAsia="en-US"/>
              </w:rPr>
              <w:t>relevant</w:t>
            </w:r>
            <w:r w:rsidR="00A1352D" w:rsidRPr="00952106">
              <w:rPr>
                <w:lang w:eastAsia="en-US"/>
              </w:rPr>
              <w:t xml:space="preserve"> sources towards</w:t>
            </w:r>
            <w:r w:rsidR="00C41181" w:rsidRPr="00952106">
              <w:rPr>
                <w:lang w:eastAsia="en-US"/>
              </w:rPr>
              <w:t xml:space="preserve"> </w:t>
            </w:r>
            <w:r w:rsidR="000F2BC3" w:rsidRPr="00952106">
              <w:rPr>
                <w:lang w:eastAsia="en-US"/>
              </w:rPr>
              <w:t>recognised</w:t>
            </w:r>
            <w:r w:rsidR="00A1352D" w:rsidRPr="00952106">
              <w:rPr>
                <w:lang w:eastAsia="en-US"/>
              </w:rPr>
              <w:t xml:space="preserve"> boating areas, </w:t>
            </w:r>
            <w:r w:rsidR="00E942BF" w:rsidRPr="00952106">
              <w:rPr>
                <w:lang w:eastAsia="en-US"/>
              </w:rPr>
              <w:t>can</w:t>
            </w:r>
            <w:r w:rsidR="009B1F44" w:rsidRPr="00952106">
              <w:rPr>
                <w:lang w:eastAsia="en-US"/>
              </w:rPr>
              <w:t xml:space="preserve"> be discussed with scientists knowledgeable about th</w:t>
            </w:r>
            <w:r w:rsidR="00DF545C" w:rsidRPr="00952106">
              <w:rPr>
                <w:lang w:eastAsia="en-US"/>
              </w:rPr>
              <w:t>e</w:t>
            </w:r>
            <w:r w:rsidR="009B1F44" w:rsidRPr="00952106">
              <w:rPr>
                <w:lang w:eastAsia="en-US"/>
              </w:rPr>
              <w:t xml:space="preserve"> </w:t>
            </w:r>
            <w:r w:rsidR="00063248" w:rsidRPr="00952106">
              <w:rPr>
                <w:lang w:eastAsia="en-US"/>
              </w:rPr>
              <w:t xml:space="preserve">area concerned. </w:t>
            </w:r>
          </w:p>
          <w:p w:rsidR="009B1F44" w:rsidRPr="00952106" w:rsidRDefault="00063248" w:rsidP="00A44022">
            <w:pPr>
              <w:rPr>
                <w:lang w:eastAsia="en-US"/>
              </w:rPr>
            </w:pPr>
            <w:r w:rsidRPr="00952106">
              <w:rPr>
                <w:lang w:eastAsia="en-US"/>
              </w:rPr>
              <w:t xml:space="preserve">The CDEM Group and </w:t>
            </w:r>
            <w:r w:rsidR="00A1352D" w:rsidRPr="00952106">
              <w:rPr>
                <w:lang w:eastAsia="en-US"/>
              </w:rPr>
              <w:t xml:space="preserve">the </w:t>
            </w:r>
            <w:r w:rsidR="00E942BF" w:rsidRPr="00952106">
              <w:rPr>
                <w:lang w:eastAsia="en-US"/>
              </w:rPr>
              <w:t>local</w:t>
            </w:r>
            <w:r w:rsidR="00A1352D" w:rsidRPr="00952106">
              <w:rPr>
                <w:lang w:eastAsia="en-US"/>
              </w:rPr>
              <w:t xml:space="preserve"> </w:t>
            </w:r>
            <w:r w:rsidR="004354CC" w:rsidRPr="00952106">
              <w:rPr>
                <w:lang w:eastAsia="en-US"/>
              </w:rPr>
              <w:t>Harbourmaster</w:t>
            </w:r>
            <w:r w:rsidR="009B1F44" w:rsidRPr="00952106">
              <w:rPr>
                <w:lang w:eastAsia="en-US"/>
              </w:rPr>
              <w:t xml:space="preserve"> </w:t>
            </w:r>
            <w:r w:rsidRPr="00952106">
              <w:rPr>
                <w:lang w:eastAsia="en-US"/>
              </w:rPr>
              <w:t>will nee</w:t>
            </w:r>
            <w:r w:rsidR="00293737" w:rsidRPr="00952106">
              <w:rPr>
                <w:lang w:eastAsia="en-US"/>
              </w:rPr>
              <w:t>d</w:t>
            </w:r>
            <w:r w:rsidRPr="00952106">
              <w:rPr>
                <w:lang w:eastAsia="en-US"/>
              </w:rPr>
              <w:t xml:space="preserve"> to consider </w:t>
            </w:r>
            <w:r w:rsidR="009B1F44" w:rsidRPr="00952106">
              <w:rPr>
                <w:lang w:eastAsia="en-US"/>
              </w:rPr>
              <w:t xml:space="preserve">the time required </w:t>
            </w:r>
            <w:r w:rsidR="000F161F" w:rsidRPr="00952106">
              <w:rPr>
                <w:lang w:eastAsia="en-US"/>
              </w:rPr>
              <w:t xml:space="preserve">for people </w:t>
            </w:r>
            <w:r w:rsidR="009B1F44" w:rsidRPr="00952106">
              <w:rPr>
                <w:lang w:eastAsia="en-US"/>
              </w:rPr>
              <w:t xml:space="preserve">to reach safety once beached or docked. </w:t>
            </w:r>
            <w:r w:rsidR="00E0425E" w:rsidRPr="00952106">
              <w:rPr>
                <w:lang w:eastAsia="en-US"/>
              </w:rPr>
              <w:t>Gi</w:t>
            </w:r>
            <w:r w:rsidR="009B1F44" w:rsidRPr="00952106">
              <w:rPr>
                <w:lang w:eastAsia="en-US"/>
              </w:rPr>
              <w:t xml:space="preserve">ven the range of possible sources and circumstances, it </w:t>
            </w:r>
            <w:r w:rsidR="00E0425E" w:rsidRPr="00952106">
              <w:rPr>
                <w:lang w:eastAsia="en-US"/>
              </w:rPr>
              <w:t xml:space="preserve">may </w:t>
            </w:r>
            <w:r w:rsidR="009B1F44" w:rsidRPr="00952106">
              <w:rPr>
                <w:lang w:eastAsia="en-US"/>
              </w:rPr>
              <w:t xml:space="preserve">not </w:t>
            </w:r>
            <w:r w:rsidR="00E0425E" w:rsidRPr="00952106">
              <w:rPr>
                <w:lang w:eastAsia="en-US"/>
              </w:rPr>
              <w:t xml:space="preserve">be </w:t>
            </w:r>
            <w:r w:rsidR="009B1F44" w:rsidRPr="00952106">
              <w:rPr>
                <w:lang w:eastAsia="en-US"/>
              </w:rPr>
              <w:t xml:space="preserve">possible to provide advice that will be optimal in every situation. </w:t>
            </w:r>
            <w:r w:rsidR="00E0425E" w:rsidRPr="00952106">
              <w:rPr>
                <w:lang w:eastAsia="en-US"/>
              </w:rPr>
              <w:t>A</w:t>
            </w:r>
            <w:r w:rsidR="009B1F44" w:rsidRPr="00952106">
              <w:rPr>
                <w:lang w:eastAsia="en-US"/>
              </w:rPr>
              <w:t xml:space="preserve"> realistic goal </w:t>
            </w:r>
            <w:r w:rsidR="00E0425E" w:rsidRPr="00952106">
              <w:rPr>
                <w:lang w:eastAsia="en-US"/>
              </w:rPr>
              <w:t>is</w:t>
            </w:r>
            <w:r w:rsidR="009B1F44" w:rsidRPr="00952106">
              <w:rPr>
                <w:lang w:eastAsia="en-US"/>
              </w:rPr>
              <w:t xml:space="preserve"> to provide </w:t>
            </w:r>
            <w:r w:rsidR="00E0425E" w:rsidRPr="00952106">
              <w:rPr>
                <w:lang w:eastAsia="en-US"/>
              </w:rPr>
              <w:t xml:space="preserve">practical </w:t>
            </w:r>
            <w:r w:rsidR="009B1F44" w:rsidRPr="00952106">
              <w:rPr>
                <w:lang w:eastAsia="en-US"/>
              </w:rPr>
              <w:t xml:space="preserve">advice </w:t>
            </w:r>
            <w:r w:rsidR="00E0425E" w:rsidRPr="00952106">
              <w:rPr>
                <w:lang w:eastAsia="en-US"/>
              </w:rPr>
              <w:t>for the</w:t>
            </w:r>
            <w:r w:rsidR="009B1F44" w:rsidRPr="00952106">
              <w:rPr>
                <w:lang w:eastAsia="en-US"/>
              </w:rPr>
              <w:t xml:space="preserve"> best chance of safety in the most likely scenarios.</w:t>
            </w:r>
          </w:p>
          <w:p w:rsidR="00BD22CA" w:rsidRDefault="00293737" w:rsidP="00A44022">
            <w:pPr>
              <w:rPr>
                <w:lang w:eastAsia="en-US"/>
              </w:rPr>
            </w:pPr>
            <w:r w:rsidRPr="00952106">
              <w:rPr>
                <w:lang w:eastAsia="en-US"/>
              </w:rPr>
              <w:t xml:space="preserve">The local Harbourmaster </w:t>
            </w:r>
            <w:r w:rsidR="00D76693" w:rsidRPr="00952106">
              <w:rPr>
                <w:lang w:eastAsia="en-US"/>
              </w:rPr>
              <w:t xml:space="preserve">may want to </w:t>
            </w:r>
            <w:r w:rsidRPr="00952106">
              <w:rPr>
                <w:lang w:eastAsia="en-US"/>
              </w:rPr>
              <w:t xml:space="preserve">pre-plan what actions to take and advice to </w:t>
            </w:r>
            <w:r w:rsidR="004C068D" w:rsidRPr="00952106">
              <w:rPr>
                <w:lang w:eastAsia="en-US"/>
              </w:rPr>
              <w:t xml:space="preserve">provide to boat operators </w:t>
            </w:r>
            <w:r w:rsidRPr="00952106">
              <w:rPr>
                <w:lang w:eastAsia="en-US"/>
              </w:rPr>
              <w:t xml:space="preserve">for each most likely scenario.  In an event, the CDEM Group </w:t>
            </w:r>
            <w:r w:rsidR="004C068D" w:rsidRPr="00952106">
              <w:rPr>
                <w:lang w:eastAsia="en-US"/>
              </w:rPr>
              <w:t xml:space="preserve">should communicate with the </w:t>
            </w:r>
            <w:r w:rsidR="00546C97">
              <w:rPr>
                <w:lang w:eastAsia="en-US"/>
              </w:rPr>
              <w:t xml:space="preserve">local </w:t>
            </w:r>
            <w:r w:rsidR="004C068D" w:rsidRPr="00952106">
              <w:rPr>
                <w:lang w:eastAsia="en-US"/>
              </w:rPr>
              <w:t xml:space="preserve">Harbourmaster </w:t>
            </w:r>
            <w:r w:rsidR="00E82BEF" w:rsidRPr="00952106">
              <w:rPr>
                <w:lang w:eastAsia="en-US"/>
              </w:rPr>
              <w:t>to provide</w:t>
            </w:r>
            <w:r w:rsidR="00126556" w:rsidRPr="00952106">
              <w:rPr>
                <w:lang w:eastAsia="en-US"/>
              </w:rPr>
              <w:t xml:space="preserve"> relevant information on the threat.</w:t>
            </w:r>
            <w:r w:rsidR="004C068D" w:rsidRPr="00952106">
              <w:rPr>
                <w:lang w:eastAsia="en-US"/>
              </w:rPr>
              <w:t xml:space="preserve"> </w:t>
            </w:r>
          </w:p>
          <w:p w:rsidR="00293737" w:rsidRDefault="004C068D" w:rsidP="00A44022">
            <w:pPr>
              <w:rPr>
                <w:lang w:eastAsia="en-US"/>
              </w:rPr>
            </w:pPr>
            <w:r w:rsidRPr="00952106">
              <w:rPr>
                <w:lang w:eastAsia="en-US"/>
              </w:rPr>
              <w:t xml:space="preserve">The </w:t>
            </w:r>
            <w:r w:rsidR="00546C97">
              <w:rPr>
                <w:lang w:eastAsia="en-US"/>
              </w:rPr>
              <w:t xml:space="preserve">local </w:t>
            </w:r>
            <w:r w:rsidRPr="00952106">
              <w:rPr>
                <w:lang w:eastAsia="en-US"/>
              </w:rPr>
              <w:t xml:space="preserve">Harbourmaster </w:t>
            </w:r>
            <w:r w:rsidR="00E0425E" w:rsidRPr="00952106">
              <w:rPr>
                <w:lang w:eastAsia="en-US"/>
              </w:rPr>
              <w:t>may</w:t>
            </w:r>
            <w:r w:rsidRPr="00952106">
              <w:rPr>
                <w:lang w:eastAsia="en-US"/>
              </w:rPr>
              <w:t xml:space="preserve"> need to make judgement call</w:t>
            </w:r>
            <w:r w:rsidR="002F64B3" w:rsidRPr="00952106">
              <w:rPr>
                <w:lang w:eastAsia="en-US"/>
              </w:rPr>
              <w:t>s</w:t>
            </w:r>
            <w:r w:rsidRPr="00952106">
              <w:rPr>
                <w:lang w:eastAsia="en-US"/>
              </w:rPr>
              <w:t xml:space="preserve"> </w:t>
            </w:r>
            <w:r w:rsidR="002F64B3" w:rsidRPr="00952106">
              <w:rPr>
                <w:lang w:eastAsia="en-US"/>
              </w:rPr>
              <w:t>based on their expertise and local knowledge.</w:t>
            </w:r>
            <w:r w:rsidRPr="00952106">
              <w:rPr>
                <w:lang w:eastAsia="en-US"/>
              </w:rPr>
              <w:t xml:space="preserve"> </w:t>
            </w:r>
            <w:r w:rsidR="005E0E8A" w:rsidRPr="00952106">
              <w:rPr>
                <w:lang w:eastAsia="en-US"/>
              </w:rPr>
              <w:t>It should be recognised that n</w:t>
            </w:r>
            <w:r w:rsidR="002F4A34" w:rsidRPr="00952106">
              <w:rPr>
                <w:lang w:eastAsia="en-US"/>
              </w:rPr>
              <w:t xml:space="preserve">o other official </w:t>
            </w:r>
            <w:r w:rsidR="005E0E8A" w:rsidRPr="00952106">
              <w:rPr>
                <w:lang w:eastAsia="en-US"/>
              </w:rPr>
              <w:t>is likely to</w:t>
            </w:r>
            <w:r w:rsidR="002F4A34" w:rsidRPr="00952106">
              <w:rPr>
                <w:lang w:eastAsia="en-US"/>
              </w:rPr>
              <w:t xml:space="preserve"> have more </w:t>
            </w:r>
            <w:r w:rsidR="005E0E8A" w:rsidRPr="00952106">
              <w:rPr>
                <w:lang w:eastAsia="en-US"/>
              </w:rPr>
              <w:t>knowledge</w:t>
            </w:r>
            <w:r w:rsidR="002F4A34" w:rsidRPr="00952106">
              <w:rPr>
                <w:lang w:eastAsia="en-US"/>
              </w:rPr>
              <w:t xml:space="preserve"> on the possible effects of unusual or large waves and tidal surges within </w:t>
            </w:r>
            <w:r w:rsidR="002F64B3" w:rsidRPr="00952106">
              <w:rPr>
                <w:lang w:eastAsia="en-US"/>
              </w:rPr>
              <w:t>local</w:t>
            </w:r>
            <w:r w:rsidR="002F4A34" w:rsidRPr="00952106">
              <w:rPr>
                <w:lang w:eastAsia="en-US"/>
              </w:rPr>
              <w:t xml:space="preserve"> harbours, estuaries and bays</w:t>
            </w:r>
            <w:r w:rsidR="002F64B3" w:rsidRPr="00952106">
              <w:rPr>
                <w:lang w:eastAsia="en-US"/>
              </w:rPr>
              <w:t xml:space="preserve">, </w:t>
            </w:r>
            <w:r w:rsidR="00A23E23" w:rsidRPr="00952106">
              <w:rPr>
                <w:lang w:eastAsia="en-US"/>
              </w:rPr>
              <w:t>and</w:t>
            </w:r>
            <w:r w:rsidR="002F4A34" w:rsidRPr="00952106">
              <w:rPr>
                <w:lang w:eastAsia="en-US"/>
              </w:rPr>
              <w:t xml:space="preserve"> wh</w:t>
            </w:r>
            <w:r w:rsidR="005E0E8A" w:rsidRPr="00952106">
              <w:rPr>
                <w:lang w:eastAsia="en-US"/>
              </w:rPr>
              <w:t>ere</w:t>
            </w:r>
            <w:r w:rsidR="002F4A34" w:rsidRPr="00952106">
              <w:rPr>
                <w:lang w:eastAsia="en-US"/>
              </w:rPr>
              <w:t xml:space="preserve"> boats </w:t>
            </w:r>
            <w:r w:rsidR="00A23E23" w:rsidRPr="00952106">
              <w:rPr>
                <w:lang w:eastAsia="en-US"/>
              </w:rPr>
              <w:t>are</w:t>
            </w:r>
            <w:r w:rsidR="005E0E8A" w:rsidRPr="00952106">
              <w:rPr>
                <w:lang w:eastAsia="en-US"/>
              </w:rPr>
              <w:t xml:space="preserve"> likely to be </w:t>
            </w:r>
            <w:r w:rsidR="002F4A34" w:rsidRPr="00952106">
              <w:rPr>
                <w:lang w:eastAsia="en-US"/>
              </w:rPr>
              <w:t>on the day.</w:t>
            </w:r>
          </w:p>
          <w:p w:rsidR="002A0AB1" w:rsidRPr="009B1F44" w:rsidRDefault="002A0AB1" w:rsidP="00A44022">
            <w:pPr>
              <w:pStyle w:val="Spacer"/>
              <w:rPr>
                <w:lang w:eastAsia="en-US"/>
              </w:rPr>
            </w:pPr>
          </w:p>
        </w:tc>
      </w:tr>
      <w:tr w:rsidR="003B1D23" w:rsidRPr="009B1F44" w:rsidTr="00DB32E7">
        <w:tc>
          <w:tcPr>
            <w:tcW w:w="1928" w:type="dxa"/>
            <w:tcMar>
              <w:right w:w="227" w:type="dxa"/>
            </w:tcMar>
          </w:tcPr>
          <w:p w:rsidR="003B1D23" w:rsidRPr="009B1F44" w:rsidRDefault="00EB52D2" w:rsidP="00A44022">
            <w:pPr>
              <w:rPr>
                <w:rFonts w:ascii="Arial Narrow" w:hAnsi="Arial Narrow"/>
                <w:b/>
                <w:color w:val="005A9B" w:themeColor="background2"/>
              </w:rPr>
            </w:pPr>
            <w:r>
              <w:rPr>
                <w:rFonts w:ascii="Arial Narrow" w:hAnsi="Arial Narrow"/>
                <w:b/>
                <w:color w:val="005A9B" w:themeColor="background2"/>
              </w:rPr>
              <w:t xml:space="preserve">Minimum </w:t>
            </w:r>
            <w:r w:rsidR="00721D6A">
              <w:rPr>
                <w:rFonts w:ascii="Arial Narrow" w:hAnsi="Arial Narrow"/>
                <w:b/>
                <w:color w:val="005A9B" w:themeColor="background2"/>
              </w:rPr>
              <w:t>evacuation depth</w:t>
            </w:r>
          </w:p>
        </w:tc>
        <w:tc>
          <w:tcPr>
            <w:tcW w:w="7711" w:type="dxa"/>
          </w:tcPr>
          <w:p w:rsidR="003B1D23" w:rsidRDefault="003B1D23" w:rsidP="00A44022">
            <w:r w:rsidRPr="003B1D23">
              <w:rPr>
                <w:b/>
                <w:u w:val="single"/>
              </w:rPr>
              <w:t>Depth (m):</w:t>
            </w:r>
            <w:r>
              <w:t xml:space="preserve"> 50m</w:t>
            </w:r>
            <w:r w:rsidR="001C4F13">
              <w:t>.</w:t>
            </w:r>
          </w:p>
          <w:p w:rsidR="00EB52D2" w:rsidRDefault="00EB52D2" w:rsidP="00A44022">
            <w:r>
              <w:t>Do not stop at the 50m line but continue to head to deeper water which is safer from tsunami currents and waves.</w:t>
            </w:r>
          </w:p>
          <w:p w:rsidR="003B1D23" w:rsidRDefault="003B1D23" w:rsidP="00A44022">
            <w:r w:rsidRPr="003B1D23">
              <w:rPr>
                <w:b/>
                <w:u w:val="single"/>
              </w:rPr>
              <w:t>Disclaimer:</w:t>
            </w:r>
            <w:r>
              <w:t xml:space="preserve"> Please note that the minimum safe distance for boats is indicative only and based on current science and modelling as at date maps published.</w:t>
            </w:r>
          </w:p>
          <w:p w:rsidR="00F75989" w:rsidRDefault="00154ACB" w:rsidP="00A44022">
            <w:pPr>
              <w:keepNext/>
            </w:pPr>
            <w:r>
              <w:rPr>
                <w:rFonts w:ascii="Calibri" w:hAnsi="Calibri"/>
                <w:noProof/>
                <w:sz w:val="24"/>
              </w:rPr>
              <w:lastRenderedPageBreak/>
              <w:drawing>
                <wp:inline distT="0" distB="0" distL="0" distR="0" wp14:anchorId="0805EF0A" wp14:editId="66B00A74">
                  <wp:extent cx="4724488" cy="3343275"/>
                  <wp:effectExtent l="0" t="0" r="0" b="0"/>
                  <wp:docPr id="39" name="Picture 39" descr="This imahe shows draft tsunami evacuation advice for boats for Hawkes Bay."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BRC_NZTM_TsunamiBoatie_A4Landscap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33253" cy="3349477"/>
                          </a:xfrm>
                          <a:prstGeom prst="rect">
                            <a:avLst/>
                          </a:prstGeom>
                          <a:noFill/>
                          <a:ln>
                            <a:noFill/>
                          </a:ln>
                        </pic:spPr>
                      </pic:pic>
                    </a:graphicData>
                  </a:graphic>
                </wp:inline>
              </w:drawing>
            </w:r>
          </w:p>
          <w:p w:rsidR="003B1D23" w:rsidRPr="00A44022" w:rsidRDefault="00F75989" w:rsidP="00A44022">
            <w:pPr>
              <w:pStyle w:val="Caption"/>
            </w:pPr>
            <w:bookmarkStart w:id="71" w:name="_Ref442785602"/>
            <w:r w:rsidRPr="00A44022">
              <w:t xml:space="preserve">Figure </w:t>
            </w:r>
            <w:fldSimple w:instr=" SEQ Figure \* ARABIC ">
              <w:r w:rsidR="009B2134">
                <w:rPr>
                  <w:noProof/>
                </w:rPr>
                <w:t>11</w:t>
              </w:r>
            </w:fldSimple>
            <w:bookmarkEnd w:id="71"/>
            <w:r w:rsidRPr="00A44022">
              <w:t xml:space="preserve"> Draft tsunami evacuation advice for boats for Hawkes Bay</w:t>
            </w:r>
          </w:p>
        </w:tc>
      </w:tr>
    </w:tbl>
    <w:p w:rsidR="002A0AB1" w:rsidRDefault="002A0AB1" w:rsidP="00A44022"/>
    <w:p w:rsidR="009B1F44" w:rsidRDefault="009B1F44" w:rsidP="00A44022">
      <w:pPr>
        <w:pStyle w:val="Heading3"/>
        <w:spacing w:after="120"/>
      </w:pPr>
      <w:bookmarkStart w:id="72" w:name="_Toc443381828"/>
      <w:r>
        <w:t xml:space="preserve">Local </w:t>
      </w:r>
      <w:r w:rsidR="00721D6A">
        <w:t>tsunami</w:t>
      </w:r>
      <w:bookmarkEnd w:id="72"/>
    </w:p>
    <w:tbl>
      <w:tblPr>
        <w:tblStyle w:val="TableGrid2"/>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9B1F44" w:rsidRPr="009B1F44" w:rsidTr="00DB32E7">
        <w:tc>
          <w:tcPr>
            <w:tcW w:w="1928" w:type="dxa"/>
            <w:tcMar>
              <w:right w:w="227" w:type="dxa"/>
            </w:tcMar>
          </w:tcPr>
          <w:p w:rsidR="009B1F44" w:rsidRPr="009B1F44" w:rsidRDefault="009B1F44" w:rsidP="00A44022">
            <w:pPr>
              <w:rPr>
                <w:rFonts w:ascii="Arial Narrow" w:hAnsi="Arial Narrow"/>
                <w:b/>
                <w:color w:val="005A9B" w:themeColor="background2"/>
                <w:lang w:eastAsia="en-US"/>
              </w:rPr>
            </w:pPr>
          </w:p>
        </w:tc>
        <w:tc>
          <w:tcPr>
            <w:tcW w:w="7711" w:type="dxa"/>
          </w:tcPr>
          <w:p w:rsidR="009B1F44" w:rsidRDefault="009B1F44" w:rsidP="00A44022">
            <w:pPr>
              <w:rPr>
                <w:lang w:eastAsia="en-US"/>
              </w:rPr>
            </w:pPr>
            <w:r w:rsidRPr="009B1F44">
              <w:rPr>
                <w:lang w:eastAsia="en-US"/>
              </w:rPr>
              <w:t>You have only ~10 [modify as required] minutes to take action – have a plan including a quick way to release commercial fishing gear so your boat is not dragged down by currents; have at least 3 days of food, fuel and water.</w:t>
            </w:r>
          </w:p>
          <w:p w:rsidR="002A0AB1" w:rsidRPr="009B1F44" w:rsidRDefault="002A0AB1" w:rsidP="00A44022">
            <w:pPr>
              <w:pStyle w:val="Spacer"/>
              <w:rPr>
                <w:lang w:eastAsia="en-US"/>
              </w:rPr>
            </w:pPr>
          </w:p>
        </w:tc>
      </w:tr>
      <w:tr w:rsidR="009B1F44" w:rsidRPr="009B1F44" w:rsidTr="00DB32E7">
        <w:tc>
          <w:tcPr>
            <w:tcW w:w="1928" w:type="dxa"/>
            <w:tcMar>
              <w:right w:w="227" w:type="dxa"/>
            </w:tcMar>
          </w:tcPr>
          <w:p w:rsidR="009B1F44" w:rsidRPr="009B1F44" w:rsidRDefault="009B1F44" w:rsidP="00A44022">
            <w:pPr>
              <w:rPr>
                <w:rFonts w:ascii="Arial Narrow" w:hAnsi="Arial Narrow"/>
                <w:b/>
                <w:color w:val="005A9B" w:themeColor="background2"/>
              </w:rPr>
            </w:pPr>
            <w:r>
              <w:rPr>
                <w:rFonts w:ascii="Arial Narrow" w:hAnsi="Arial Narrow"/>
                <w:b/>
                <w:color w:val="005A9B" w:themeColor="background2"/>
              </w:rPr>
              <w:t xml:space="preserve">Natural </w:t>
            </w:r>
            <w:r w:rsidR="00721D6A">
              <w:rPr>
                <w:rFonts w:ascii="Arial Narrow" w:hAnsi="Arial Narrow"/>
                <w:b/>
                <w:color w:val="005A9B" w:themeColor="background2"/>
              </w:rPr>
              <w:t xml:space="preserve">warnings </w:t>
            </w:r>
            <w:r>
              <w:rPr>
                <w:rFonts w:ascii="Arial Narrow" w:hAnsi="Arial Narrow"/>
                <w:b/>
                <w:color w:val="005A9B" w:themeColor="background2"/>
              </w:rPr>
              <w:t xml:space="preserve">– Be </w:t>
            </w:r>
            <w:r w:rsidR="00721D6A">
              <w:rPr>
                <w:rFonts w:ascii="Arial Narrow" w:hAnsi="Arial Narrow"/>
                <w:b/>
                <w:color w:val="005A9B" w:themeColor="background2"/>
              </w:rPr>
              <w:t>alert</w:t>
            </w:r>
          </w:p>
        </w:tc>
        <w:tc>
          <w:tcPr>
            <w:tcW w:w="7711" w:type="dxa"/>
          </w:tcPr>
          <w:p w:rsidR="009B1F44" w:rsidRDefault="009B1F44" w:rsidP="00A44022">
            <w:pPr>
              <w:spacing w:after="0"/>
            </w:pPr>
            <w:r w:rsidRPr="009B1F44">
              <w:rPr>
                <w:b/>
                <w:u w:val="single"/>
              </w:rPr>
              <w:t>Onshore</w:t>
            </w:r>
            <w:r>
              <w:t>:</w:t>
            </w:r>
          </w:p>
          <w:p w:rsidR="009B1F44" w:rsidRDefault="009B1F44" w:rsidP="0079195D">
            <w:pPr>
              <w:pStyle w:val="Bullet"/>
            </w:pPr>
            <w:r>
              <w:t>Strong earthquake shaking (i.e. it is hard to stand up) or a weak rolling earthquake that lasts a minute or more</w:t>
            </w:r>
          </w:p>
          <w:p w:rsidR="009B1F44" w:rsidRDefault="009B1F44" w:rsidP="0079195D">
            <w:pPr>
              <w:pStyle w:val="Bullet"/>
            </w:pPr>
            <w:r>
              <w:t>Loud and unusual noises from the sea</w:t>
            </w:r>
          </w:p>
          <w:p w:rsidR="009B1F44" w:rsidRDefault="009B1F44" w:rsidP="0079195D">
            <w:pPr>
              <w:pStyle w:val="Bullet"/>
            </w:pPr>
            <w:r>
              <w:t>A sudden rise or fall in the sea level</w:t>
            </w:r>
            <w:r w:rsidR="0091650A">
              <w:t>.</w:t>
            </w:r>
          </w:p>
          <w:p w:rsidR="009B1F44" w:rsidRPr="009B1F44" w:rsidRDefault="009B1F44" w:rsidP="00A44022">
            <w:pPr>
              <w:spacing w:after="0"/>
              <w:rPr>
                <w:b/>
                <w:u w:val="single"/>
              </w:rPr>
            </w:pPr>
            <w:r w:rsidRPr="009B1F44">
              <w:rPr>
                <w:b/>
                <w:u w:val="single"/>
              </w:rPr>
              <w:t>Offshore:</w:t>
            </w:r>
          </w:p>
          <w:p w:rsidR="009B1F44" w:rsidRDefault="009B1F44" w:rsidP="0079195D">
            <w:pPr>
              <w:pStyle w:val="Bullet"/>
            </w:pPr>
            <w:r>
              <w:t>You may feel the earthquake through the hull of your boat</w:t>
            </w:r>
          </w:p>
          <w:p w:rsidR="009B1F44" w:rsidRDefault="009B1F44" w:rsidP="0079195D">
            <w:pPr>
              <w:pStyle w:val="Bullet"/>
            </w:pPr>
            <w:r>
              <w:t>You could see a rapid and extreme shift in currents a</w:t>
            </w:r>
            <w:r w:rsidR="00BD2E48">
              <w:t>nd simultaneous changes in wind-</w:t>
            </w:r>
            <w:r>
              <w:t>wave heights</w:t>
            </w:r>
          </w:p>
          <w:p w:rsidR="009B1F44" w:rsidRDefault="009B1F44" w:rsidP="0079195D">
            <w:pPr>
              <w:pStyle w:val="Bullet"/>
            </w:pPr>
            <w:r>
              <w:t>You may receive advice on your radio</w:t>
            </w:r>
            <w:r w:rsidR="0091650A">
              <w:t>.</w:t>
            </w:r>
          </w:p>
          <w:p w:rsidR="002A0AB1" w:rsidRPr="009B1F44" w:rsidRDefault="002A0AB1" w:rsidP="00A44022">
            <w:pPr>
              <w:pStyle w:val="Spacer"/>
            </w:pPr>
          </w:p>
        </w:tc>
      </w:tr>
    </w:tbl>
    <w:p w:rsidR="002A0AB1" w:rsidRDefault="002A0AB1" w:rsidP="00A44022"/>
    <w:p w:rsidR="002A0AB1" w:rsidRDefault="002A0AB1" w:rsidP="00A44022">
      <w:pPr>
        <w:spacing w:before="0" w:after="0" w:line="240" w:lineRule="auto"/>
      </w:pPr>
      <w:r>
        <w:br w:type="page"/>
      </w:r>
    </w:p>
    <w:tbl>
      <w:tblPr>
        <w:tblStyle w:val="TableGrid2"/>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9B1F44" w:rsidRPr="009B1F44" w:rsidTr="00DB32E7">
        <w:tc>
          <w:tcPr>
            <w:tcW w:w="1928" w:type="dxa"/>
            <w:tcMar>
              <w:right w:w="227" w:type="dxa"/>
            </w:tcMar>
          </w:tcPr>
          <w:p w:rsidR="009B1F44" w:rsidRDefault="009B1F44" w:rsidP="00A44022">
            <w:pPr>
              <w:rPr>
                <w:rFonts w:ascii="Arial Narrow" w:hAnsi="Arial Narrow"/>
                <w:b/>
                <w:color w:val="005A9B" w:themeColor="background2"/>
              </w:rPr>
            </w:pPr>
            <w:r>
              <w:rPr>
                <w:rFonts w:ascii="Arial Narrow" w:hAnsi="Arial Narrow"/>
                <w:b/>
                <w:color w:val="005A9B" w:themeColor="background2"/>
              </w:rPr>
              <w:lastRenderedPageBreak/>
              <w:t xml:space="preserve">If you are </w:t>
            </w:r>
            <w:r w:rsidR="00B84AFE">
              <w:rPr>
                <w:rFonts w:ascii="Arial Narrow" w:hAnsi="Arial Narrow"/>
                <w:b/>
                <w:color w:val="005A9B" w:themeColor="background2"/>
              </w:rPr>
              <w:t>o</w:t>
            </w:r>
            <w:r>
              <w:rPr>
                <w:rFonts w:ascii="Arial Narrow" w:hAnsi="Arial Narrow"/>
                <w:b/>
                <w:color w:val="005A9B" w:themeColor="background2"/>
              </w:rPr>
              <w:t>n the water</w:t>
            </w:r>
          </w:p>
        </w:tc>
        <w:tc>
          <w:tcPr>
            <w:tcW w:w="7711" w:type="dxa"/>
          </w:tcPr>
          <w:p w:rsidR="009B1F44" w:rsidRPr="00687C68" w:rsidRDefault="009B1F44" w:rsidP="00A44022">
            <w:pPr>
              <w:spacing w:after="0"/>
              <w:rPr>
                <w:b/>
                <w:u w:val="single"/>
              </w:rPr>
            </w:pPr>
            <w:r w:rsidRPr="009B1F44">
              <w:rPr>
                <w:b/>
                <w:u w:val="single"/>
              </w:rPr>
              <w:t>At less than 50 metres</w:t>
            </w:r>
            <w:r w:rsidR="00B84AFE">
              <w:rPr>
                <w:b/>
                <w:u w:val="single"/>
              </w:rPr>
              <w:t xml:space="preserve"> </w:t>
            </w:r>
            <w:r w:rsidR="00B84AFE" w:rsidRPr="00687C68">
              <w:rPr>
                <w:b/>
                <w:u w:val="single"/>
              </w:rPr>
              <w:t>depth</w:t>
            </w:r>
            <w:r w:rsidRPr="00687C68">
              <w:rPr>
                <w:b/>
                <w:u w:val="single"/>
              </w:rPr>
              <w:t>:</w:t>
            </w:r>
          </w:p>
          <w:p w:rsidR="009B1F44" w:rsidRPr="00687C68" w:rsidRDefault="009B1F44" w:rsidP="00F946C1">
            <w:pPr>
              <w:pStyle w:val="Numbering"/>
              <w:numPr>
                <w:ilvl w:val="0"/>
                <w:numId w:val="44"/>
              </w:numPr>
            </w:pPr>
            <w:r w:rsidRPr="00687C68">
              <w:t>Stop commercial fishing operations immediately</w:t>
            </w:r>
          </w:p>
          <w:p w:rsidR="009B1F44" w:rsidRPr="00687C68" w:rsidRDefault="009B1F44" w:rsidP="00F946C1">
            <w:pPr>
              <w:pStyle w:val="Numbering"/>
            </w:pPr>
            <w:r w:rsidRPr="00687C68">
              <w:t>Free the vessel from any bottom attachment (cut lines if necessary)</w:t>
            </w:r>
          </w:p>
          <w:p w:rsidR="009B1F44" w:rsidRDefault="009B1F44" w:rsidP="00F946C1">
            <w:pPr>
              <w:pStyle w:val="Numbering"/>
            </w:pPr>
            <w:r w:rsidRPr="00687C68">
              <w:t>If you are within</w:t>
            </w:r>
            <w:r w:rsidR="00E114BC" w:rsidRPr="00687C68">
              <w:t xml:space="preserve"> </w:t>
            </w:r>
            <w:r w:rsidRPr="00687C68">
              <w:t>[</w:t>
            </w:r>
            <w:r w:rsidR="00E114BC" w:rsidRPr="00687C68">
              <w:t>state the applicable marine area</w:t>
            </w:r>
            <w:r w:rsidRPr="00687C68">
              <w:t>] and you can beach or dock your boat and evacuate on foot within 10 [modify</w:t>
            </w:r>
            <w:r w:rsidR="00E114BC" w:rsidRPr="00687C68">
              <w:t xml:space="preserve"> </w:t>
            </w:r>
            <w:r w:rsidR="004354CC" w:rsidRPr="00687C68">
              <w:t xml:space="preserve">time </w:t>
            </w:r>
            <w:r w:rsidR="00E114BC" w:rsidRPr="00687C68">
              <w:t>as</w:t>
            </w:r>
            <w:r w:rsidRPr="00687C68">
              <w:t xml:space="preserve"> </w:t>
            </w:r>
            <w:r w:rsidR="00F8737D" w:rsidRPr="00687C68">
              <w:t xml:space="preserve">appropriate for </w:t>
            </w:r>
            <w:r w:rsidR="00E114BC" w:rsidRPr="00687C68">
              <w:t>the</w:t>
            </w:r>
            <w:r w:rsidR="009250AE" w:rsidRPr="00687C68">
              <w:t xml:space="preserve"> </w:t>
            </w:r>
            <w:r w:rsidR="00F8737D" w:rsidRPr="00687C68">
              <w:t>location</w:t>
            </w:r>
            <w:r w:rsidRPr="00687C68">
              <w:t>] minutes of a natural warning, then this is your best chance.</w:t>
            </w:r>
          </w:p>
          <w:p w:rsidR="009B1F44" w:rsidRPr="00687C68" w:rsidRDefault="009B1F44" w:rsidP="00A44022">
            <w:pPr>
              <w:spacing w:after="0"/>
              <w:rPr>
                <w:b/>
                <w:u w:val="single"/>
              </w:rPr>
            </w:pPr>
            <w:r w:rsidRPr="00687C68">
              <w:rPr>
                <w:b/>
                <w:u w:val="single"/>
              </w:rPr>
              <w:t>If th</w:t>
            </w:r>
            <w:r w:rsidR="00546C97">
              <w:rPr>
                <w:b/>
                <w:u w:val="single"/>
              </w:rPr>
              <w:t>e above</w:t>
            </w:r>
            <w:r w:rsidRPr="00687C68">
              <w:rPr>
                <w:b/>
                <w:u w:val="single"/>
              </w:rPr>
              <w:t xml:space="preserve"> is not possible, head for the deepest water possible, with a minimum being outside the 50 metre mark, noting:</w:t>
            </w:r>
          </w:p>
          <w:p w:rsidR="009B1F44" w:rsidRPr="00687C68" w:rsidRDefault="009B1F44" w:rsidP="00F946C1">
            <w:pPr>
              <w:pStyle w:val="Bullet"/>
            </w:pPr>
            <w:r w:rsidRPr="00687C68">
              <w:t xml:space="preserve">Proceed as </w:t>
            </w:r>
            <w:r w:rsidRPr="00687C68">
              <w:rPr>
                <w:lang w:eastAsia="en-US"/>
              </w:rPr>
              <w:t>perpendicular</w:t>
            </w:r>
            <w:r w:rsidRPr="00687C68">
              <w:t xml:space="preserve"> to shore as possible</w:t>
            </w:r>
          </w:p>
          <w:p w:rsidR="009B1F44" w:rsidRPr="00687C68" w:rsidRDefault="009B1F44" w:rsidP="00F946C1">
            <w:pPr>
              <w:pStyle w:val="Bullet"/>
            </w:pPr>
            <w:r w:rsidRPr="00687C68">
              <w:t>Sail directly into waves</w:t>
            </w:r>
            <w:r w:rsidR="00546C97">
              <w:t>; b</w:t>
            </w:r>
            <w:r w:rsidRPr="00687C68">
              <w:t>ear in mind tsunami can interact with wind waves</w:t>
            </w:r>
            <w:r w:rsidR="00CA448E" w:rsidRPr="00687C68">
              <w:t>,</w:t>
            </w:r>
            <w:r w:rsidR="004354CC" w:rsidRPr="00687C68">
              <w:t xml:space="preserve"> and</w:t>
            </w:r>
            <w:r w:rsidR="00CA448E" w:rsidRPr="00687C68">
              <w:t xml:space="preserve"> headlands </w:t>
            </w:r>
            <w:r w:rsidR="00CA448E" w:rsidRPr="00687C68">
              <w:rPr>
                <w:lang w:eastAsia="en-US"/>
              </w:rPr>
              <w:t>and</w:t>
            </w:r>
            <w:r w:rsidR="00CA448E" w:rsidRPr="00687C68">
              <w:t xml:space="preserve"> islands</w:t>
            </w:r>
            <w:r w:rsidR="004354CC" w:rsidRPr="00687C68">
              <w:t>,</w:t>
            </w:r>
            <w:r w:rsidRPr="00687C68">
              <w:t xml:space="preserve"> and produce unusual effects</w:t>
            </w:r>
          </w:p>
          <w:p w:rsidR="009B1F44" w:rsidRPr="00687C68" w:rsidRDefault="009B1F44" w:rsidP="00F946C1">
            <w:pPr>
              <w:pStyle w:val="Bullet"/>
            </w:pPr>
            <w:r w:rsidRPr="00687C68">
              <w:t>Maintain as much separ</w:t>
            </w:r>
            <w:r w:rsidRPr="00687C68">
              <w:rPr>
                <w:lang w:eastAsia="en-US"/>
              </w:rPr>
              <w:t>a</w:t>
            </w:r>
            <w:r w:rsidRPr="00687C68">
              <w:t>tion as possible from other vessels</w:t>
            </w:r>
            <w:r w:rsidR="0091650A" w:rsidRPr="00687C68">
              <w:t>.</w:t>
            </w:r>
          </w:p>
          <w:p w:rsidR="009B1F44" w:rsidRPr="009B1F44" w:rsidRDefault="009B1F44" w:rsidP="00A44022">
            <w:pPr>
              <w:spacing w:after="0"/>
              <w:rPr>
                <w:b/>
                <w:u w:val="single"/>
              </w:rPr>
            </w:pPr>
            <w:r w:rsidRPr="00687C68">
              <w:rPr>
                <w:b/>
                <w:u w:val="single"/>
              </w:rPr>
              <w:t>At greater than 50 metres</w:t>
            </w:r>
            <w:r w:rsidR="00B84AFE" w:rsidRPr="00687C68">
              <w:rPr>
                <w:b/>
                <w:u w:val="single"/>
              </w:rPr>
              <w:t xml:space="preserve"> depth</w:t>
            </w:r>
            <w:r w:rsidRPr="00687C68">
              <w:rPr>
                <w:b/>
                <w:u w:val="single"/>
              </w:rPr>
              <w:t>:</w:t>
            </w:r>
          </w:p>
          <w:p w:rsidR="009B1F44" w:rsidRPr="009B1F44" w:rsidRDefault="009B1F44" w:rsidP="00F946C1">
            <w:pPr>
              <w:pStyle w:val="Bullet"/>
            </w:pPr>
            <w:r w:rsidRPr="009B1F44">
              <w:t>Continue to head to deeper water which is safer from tsunami currents and waves</w:t>
            </w:r>
          </w:p>
          <w:p w:rsidR="009B1F44" w:rsidRPr="009B1F44" w:rsidRDefault="009B1F44" w:rsidP="00F946C1">
            <w:pPr>
              <w:pStyle w:val="Bullet"/>
            </w:pPr>
            <w:r w:rsidRPr="009B1F44">
              <w:t>If you are on land or tied up at dock</w:t>
            </w:r>
          </w:p>
          <w:p w:rsidR="009B1F44" w:rsidRPr="009B1F44" w:rsidRDefault="009B1F44" w:rsidP="00F946C1">
            <w:pPr>
              <w:pStyle w:val="Bullet"/>
            </w:pPr>
            <w:r w:rsidRPr="009B1F44">
              <w:t xml:space="preserve">Evacuate out of the tsunami </w:t>
            </w:r>
            <w:r w:rsidRPr="009B1F44">
              <w:rPr>
                <w:lang w:eastAsia="en-US"/>
              </w:rPr>
              <w:t>evacuation</w:t>
            </w:r>
            <w:r w:rsidRPr="009B1F44">
              <w:t xml:space="preserve"> zone</w:t>
            </w:r>
            <w:r w:rsidR="0086276C">
              <w:t xml:space="preserve"> – y</w:t>
            </w:r>
            <w:r w:rsidRPr="009B1F44">
              <w:t>ou don’t have time to save your boat and could die if you try to do so</w:t>
            </w:r>
            <w:r w:rsidR="0091650A">
              <w:t>.</w:t>
            </w:r>
          </w:p>
        </w:tc>
      </w:tr>
    </w:tbl>
    <w:p w:rsidR="002A0AB1" w:rsidRDefault="002A0AB1" w:rsidP="00A44022"/>
    <w:p w:rsidR="009B1F44" w:rsidRDefault="009B1F44" w:rsidP="00A44022">
      <w:pPr>
        <w:pStyle w:val="Heading3"/>
        <w:spacing w:after="120"/>
      </w:pPr>
      <w:bookmarkStart w:id="73" w:name="_Toc443381829"/>
      <w:r>
        <w:t xml:space="preserve">Distal </w:t>
      </w:r>
      <w:r w:rsidR="00721D6A">
        <w:t>tsunami</w:t>
      </w:r>
      <w:bookmarkEnd w:id="73"/>
    </w:p>
    <w:tbl>
      <w:tblPr>
        <w:tblStyle w:val="TableGrid2"/>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9B1F44" w:rsidRPr="009B1F44" w:rsidTr="00DB32E7">
        <w:tc>
          <w:tcPr>
            <w:tcW w:w="1928" w:type="dxa"/>
            <w:tcMar>
              <w:right w:w="227" w:type="dxa"/>
            </w:tcMar>
          </w:tcPr>
          <w:p w:rsidR="009B1F44" w:rsidRPr="009B1F44" w:rsidRDefault="009B1F44" w:rsidP="00A44022">
            <w:pPr>
              <w:rPr>
                <w:rFonts w:ascii="Arial Narrow" w:hAnsi="Arial Narrow"/>
                <w:b/>
                <w:color w:val="005A9B" w:themeColor="background2"/>
                <w:lang w:eastAsia="en-US"/>
              </w:rPr>
            </w:pPr>
          </w:p>
        </w:tc>
        <w:tc>
          <w:tcPr>
            <w:tcW w:w="7711" w:type="dxa"/>
          </w:tcPr>
          <w:p w:rsidR="009B1F44" w:rsidRDefault="009B1F44" w:rsidP="00A44022">
            <w:pPr>
              <w:rPr>
                <w:lang w:eastAsia="en-US"/>
              </w:rPr>
            </w:pPr>
            <w:r w:rsidRPr="009B1F44">
              <w:rPr>
                <w:lang w:eastAsia="en-US"/>
              </w:rPr>
              <w:t>You generally have at least 3 [modify as required] hours to take action.</w:t>
            </w:r>
          </w:p>
          <w:p w:rsidR="009B1F44" w:rsidRPr="009B1F44" w:rsidRDefault="009B1F44" w:rsidP="00A44022">
            <w:pPr>
              <w:rPr>
                <w:b/>
                <w:lang w:eastAsia="en-US"/>
              </w:rPr>
            </w:pPr>
            <w:r w:rsidRPr="009B1F44">
              <w:rPr>
                <w:b/>
                <w:lang w:eastAsia="en-US"/>
              </w:rPr>
              <w:t xml:space="preserve">Check with your local </w:t>
            </w:r>
            <w:r w:rsidR="00290AFA">
              <w:rPr>
                <w:b/>
                <w:lang w:eastAsia="en-US"/>
              </w:rPr>
              <w:t>H</w:t>
            </w:r>
            <w:r w:rsidRPr="009B1F44">
              <w:rPr>
                <w:b/>
                <w:lang w:eastAsia="en-US"/>
              </w:rPr>
              <w:t>arbourmaster on required actions.</w:t>
            </w:r>
          </w:p>
        </w:tc>
      </w:tr>
    </w:tbl>
    <w:p w:rsidR="002A0AB1" w:rsidRDefault="002A0AB1" w:rsidP="00A44022"/>
    <w:p w:rsidR="009B1F44" w:rsidRDefault="009B1F44" w:rsidP="00A44022">
      <w:pPr>
        <w:pStyle w:val="Heading3"/>
        <w:spacing w:after="120"/>
      </w:pPr>
      <w:bookmarkStart w:id="74" w:name="_Toc443381830"/>
      <w:r>
        <w:t xml:space="preserve">After the </w:t>
      </w:r>
      <w:r w:rsidR="00721D6A">
        <w:t>tsunami</w:t>
      </w:r>
      <w:bookmarkEnd w:id="74"/>
    </w:p>
    <w:tbl>
      <w:tblPr>
        <w:tblStyle w:val="TableGrid2"/>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9B1F44" w:rsidRPr="009B1F44" w:rsidTr="00DB32E7">
        <w:tc>
          <w:tcPr>
            <w:tcW w:w="1928" w:type="dxa"/>
            <w:tcMar>
              <w:right w:w="227" w:type="dxa"/>
            </w:tcMar>
          </w:tcPr>
          <w:p w:rsidR="009B1F44" w:rsidRPr="009B1F44" w:rsidRDefault="009B1F44" w:rsidP="00A44022">
            <w:pPr>
              <w:rPr>
                <w:rFonts w:ascii="Arial Narrow" w:hAnsi="Arial Narrow"/>
                <w:b/>
                <w:color w:val="005A9B" w:themeColor="background2"/>
                <w:lang w:eastAsia="en-US"/>
              </w:rPr>
            </w:pPr>
          </w:p>
        </w:tc>
        <w:tc>
          <w:tcPr>
            <w:tcW w:w="7711" w:type="dxa"/>
          </w:tcPr>
          <w:p w:rsidR="009B1F44" w:rsidRDefault="009B1F44" w:rsidP="00A44022">
            <w:pPr>
              <w:pStyle w:val="ListParagraph"/>
              <w:numPr>
                <w:ilvl w:val="0"/>
                <w:numId w:val="33"/>
              </w:numPr>
              <w:ind w:left="374" w:hanging="283"/>
              <w:rPr>
                <w:lang w:eastAsia="en-US"/>
              </w:rPr>
            </w:pPr>
            <w:r>
              <w:rPr>
                <w:lang w:eastAsia="en-US"/>
              </w:rPr>
              <w:t xml:space="preserve">If in an offshore staging area, check with the </w:t>
            </w:r>
            <w:r w:rsidR="00546C97">
              <w:rPr>
                <w:lang w:eastAsia="en-US"/>
              </w:rPr>
              <w:t xml:space="preserve">local </w:t>
            </w:r>
            <w:r w:rsidR="0086276C">
              <w:rPr>
                <w:lang w:eastAsia="en-US"/>
              </w:rPr>
              <w:t>H</w:t>
            </w:r>
            <w:r>
              <w:rPr>
                <w:lang w:eastAsia="en-US"/>
              </w:rPr>
              <w:t>arbourmaster for guidance before leaving the staging area; conserve fuel by drifting until you know what actions you need to take</w:t>
            </w:r>
          </w:p>
          <w:p w:rsidR="009B1F44" w:rsidRDefault="009B1F44" w:rsidP="00A44022">
            <w:pPr>
              <w:pStyle w:val="ListParagraph"/>
              <w:numPr>
                <w:ilvl w:val="0"/>
                <w:numId w:val="33"/>
              </w:numPr>
              <w:ind w:left="374" w:hanging="283"/>
              <w:rPr>
                <w:lang w:eastAsia="en-US"/>
              </w:rPr>
            </w:pPr>
            <w:r>
              <w:rPr>
                <w:lang w:eastAsia="en-US"/>
              </w:rPr>
              <w:t xml:space="preserve">Do not return to local ports which may be damaged, until you have firm guidance from </w:t>
            </w:r>
            <w:r w:rsidR="0086276C">
              <w:rPr>
                <w:lang w:eastAsia="en-US"/>
              </w:rPr>
              <w:t xml:space="preserve">the </w:t>
            </w:r>
            <w:r w:rsidR="00546C97">
              <w:rPr>
                <w:lang w:eastAsia="en-US"/>
              </w:rPr>
              <w:t xml:space="preserve">local </w:t>
            </w:r>
            <w:r w:rsidR="0086276C">
              <w:rPr>
                <w:lang w:eastAsia="en-US"/>
              </w:rPr>
              <w:t>H</w:t>
            </w:r>
            <w:r>
              <w:rPr>
                <w:lang w:eastAsia="en-US"/>
              </w:rPr>
              <w:t xml:space="preserve">arbourmaster and </w:t>
            </w:r>
            <w:r w:rsidR="0086276C">
              <w:rPr>
                <w:lang w:eastAsia="en-US"/>
              </w:rPr>
              <w:t>L</w:t>
            </w:r>
            <w:r>
              <w:rPr>
                <w:lang w:eastAsia="en-US"/>
              </w:rPr>
              <w:t xml:space="preserve">ocal </w:t>
            </w:r>
            <w:r w:rsidR="0086276C">
              <w:rPr>
                <w:lang w:eastAsia="en-US"/>
              </w:rPr>
              <w:t>A</w:t>
            </w:r>
            <w:r>
              <w:rPr>
                <w:lang w:eastAsia="en-US"/>
              </w:rPr>
              <w:t>uthorities</w:t>
            </w:r>
          </w:p>
          <w:p w:rsidR="009B1F44" w:rsidRPr="009B1F44" w:rsidRDefault="009B1F44" w:rsidP="00A44022">
            <w:pPr>
              <w:pStyle w:val="ListParagraph"/>
              <w:numPr>
                <w:ilvl w:val="0"/>
                <w:numId w:val="33"/>
              </w:numPr>
              <w:ind w:left="374" w:hanging="283"/>
              <w:rPr>
                <w:b/>
                <w:lang w:eastAsia="en-US"/>
              </w:rPr>
            </w:pPr>
            <w:r>
              <w:rPr>
                <w:lang w:eastAsia="en-US"/>
              </w:rPr>
              <w:t xml:space="preserve">If in an onshore assembly area, check with </w:t>
            </w:r>
            <w:r w:rsidR="0086276C">
              <w:rPr>
                <w:lang w:eastAsia="en-US"/>
              </w:rPr>
              <w:t>L</w:t>
            </w:r>
            <w:r>
              <w:rPr>
                <w:lang w:eastAsia="en-US"/>
              </w:rPr>
              <w:t xml:space="preserve">ocal </w:t>
            </w:r>
            <w:r w:rsidR="0086276C">
              <w:rPr>
                <w:lang w:eastAsia="en-US"/>
              </w:rPr>
              <w:t>A</w:t>
            </w:r>
            <w:r>
              <w:rPr>
                <w:lang w:eastAsia="en-US"/>
              </w:rPr>
              <w:t>uthorities for guidance before returning to the inundation zone.</w:t>
            </w:r>
          </w:p>
        </w:tc>
      </w:tr>
    </w:tbl>
    <w:p w:rsidR="00A31C8E" w:rsidRDefault="00A31C8E" w:rsidP="00A44022"/>
    <w:p w:rsidR="00A31C8E" w:rsidRDefault="00A31C8E">
      <w:pPr>
        <w:spacing w:before="0" w:after="0" w:line="240" w:lineRule="auto"/>
      </w:pPr>
      <w:r>
        <w:br w:type="page"/>
      </w:r>
    </w:p>
    <w:p w:rsidR="009B1F44" w:rsidRDefault="009B1F44" w:rsidP="00A44022">
      <w:pPr>
        <w:pStyle w:val="Heading3"/>
        <w:spacing w:after="120"/>
      </w:pPr>
      <w:bookmarkStart w:id="75" w:name="_Toc443381831"/>
      <w:r>
        <w:lastRenderedPageBreak/>
        <w:t xml:space="preserve">Broadcast </w:t>
      </w:r>
      <w:r w:rsidR="00154ACB">
        <w:t>d</w:t>
      </w:r>
      <w:r>
        <w:t xml:space="preserve">uring a </w:t>
      </w:r>
      <w:r w:rsidR="00721D6A">
        <w:t>tsunami</w:t>
      </w:r>
      <w:bookmarkEnd w:id="75"/>
    </w:p>
    <w:tbl>
      <w:tblPr>
        <w:tblStyle w:val="TableGrid2"/>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9B1F44" w:rsidRPr="009B1F44" w:rsidTr="00DB32E7">
        <w:tc>
          <w:tcPr>
            <w:tcW w:w="1928" w:type="dxa"/>
            <w:tcMar>
              <w:right w:w="227" w:type="dxa"/>
            </w:tcMar>
          </w:tcPr>
          <w:p w:rsidR="009B1F44" w:rsidRPr="009B1F44" w:rsidRDefault="009B1F44" w:rsidP="00A44022">
            <w:pPr>
              <w:rPr>
                <w:rFonts w:ascii="Arial Narrow" w:hAnsi="Arial Narrow"/>
                <w:b/>
                <w:color w:val="005A9B" w:themeColor="background2"/>
                <w:lang w:eastAsia="en-US"/>
              </w:rPr>
            </w:pPr>
          </w:p>
        </w:tc>
        <w:tc>
          <w:tcPr>
            <w:tcW w:w="7711" w:type="dxa"/>
          </w:tcPr>
          <w:p w:rsidR="009B1F44" w:rsidRDefault="009B1F44" w:rsidP="00A44022">
            <w:pPr>
              <w:rPr>
                <w:lang w:eastAsia="en-US"/>
              </w:rPr>
            </w:pPr>
            <w:r>
              <w:rPr>
                <w:lang w:eastAsia="en-US"/>
              </w:rPr>
              <w:t xml:space="preserve">The </w:t>
            </w:r>
            <w:r w:rsidR="00546C97">
              <w:rPr>
                <w:lang w:eastAsia="en-US"/>
              </w:rPr>
              <w:t xml:space="preserve">local </w:t>
            </w:r>
            <w:r>
              <w:rPr>
                <w:lang w:eastAsia="en-US"/>
              </w:rPr>
              <w:t xml:space="preserve">Harbourmaster </w:t>
            </w:r>
            <w:r w:rsidR="00463FE8">
              <w:rPr>
                <w:lang w:eastAsia="en-US"/>
              </w:rPr>
              <w:t>will</w:t>
            </w:r>
            <w:r w:rsidR="00045E0F">
              <w:rPr>
                <w:lang w:eastAsia="en-US"/>
              </w:rPr>
              <w:t xml:space="preserve"> </w:t>
            </w:r>
            <w:r w:rsidR="00045E0F" w:rsidRPr="00687C68">
              <w:rPr>
                <w:lang w:eastAsia="en-US"/>
              </w:rPr>
              <w:t>[</w:t>
            </w:r>
            <w:r w:rsidR="00463FE8">
              <w:rPr>
                <w:lang w:eastAsia="en-US"/>
              </w:rPr>
              <w:t xml:space="preserve">and </w:t>
            </w:r>
            <w:r w:rsidR="00687C68">
              <w:rPr>
                <w:lang w:eastAsia="en-US"/>
              </w:rPr>
              <w:t>i</w:t>
            </w:r>
            <w:r w:rsidR="00F166C0">
              <w:rPr>
                <w:lang w:eastAsia="en-US"/>
              </w:rPr>
              <w:t>n accordance with</w:t>
            </w:r>
            <w:r w:rsidR="00045E0F" w:rsidRPr="00687C68">
              <w:rPr>
                <w:lang w:eastAsia="en-US"/>
              </w:rPr>
              <w:t xml:space="preserve"> </w:t>
            </w:r>
            <w:r w:rsidR="00463FE8">
              <w:rPr>
                <w:lang w:eastAsia="en-US"/>
              </w:rPr>
              <w:t xml:space="preserve">any </w:t>
            </w:r>
            <w:r w:rsidR="00045E0F" w:rsidRPr="00687C68">
              <w:rPr>
                <w:lang w:eastAsia="en-US"/>
              </w:rPr>
              <w:t>pre-</w:t>
            </w:r>
            <w:r w:rsidR="00687C68">
              <w:rPr>
                <w:lang w:eastAsia="en-US"/>
              </w:rPr>
              <w:t xml:space="preserve">plan </w:t>
            </w:r>
            <w:r w:rsidR="00F166C0">
              <w:rPr>
                <w:lang w:eastAsia="en-US"/>
              </w:rPr>
              <w:t>arrangements</w:t>
            </w:r>
            <w:r w:rsidR="00045E0F" w:rsidRPr="00687C68">
              <w:rPr>
                <w:lang w:eastAsia="en-US"/>
              </w:rPr>
              <w:t>]</w:t>
            </w:r>
            <w:r>
              <w:rPr>
                <w:lang w:eastAsia="en-US"/>
              </w:rPr>
              <w:t xml:space="preserve"> issue Urgent Marine Information Broadcasts on C</w:t>
            </w:r>
            <w:r w:rsidR="00474E6C">
              <w:rPr>
                <w:lang w:eastAsia="en-US"/>
              </w:rPr>
              <w:t>H </w:t>
            </w:r>
            <w:r>
              <w:rPr>
                <w:lang w:eastAsia="en-US"/>
              </w:rPr>
              <w:t>16</w:t>
            </w:r>
            <w:r w:rsidR="00463FE8">
              <w:rPr>
                <w:lang w:eastAsia="en-US"/>
              </w:rPr>
              <w:t xml:space="preserve"> [</w:t>
            </w:r>
            <w:r w:rsidR="00F166C0">
              <w:rPr>
                <w:lang w:eastAsia="en-US"/>
              </w:rPr>
              <w:t>as required</w:t>
            </w:r>
            <w:r w:rsidR="00463FE8">
              <w:rPr>
                <w:lang w:eastAsia="en-US"/>
              </w:rPr>
              <w:t>]</w:t>
            </w:r>
            <w:r>
              <w:rPr>
                <w:lang w:eastAsia="en-US"/>
              </w:rPr>
              <w:t>.</w:t>
            </w:r>
            <w:r w:rsidR="009B1363">
              <w:rPr>
                <w:lang w:eastAsia="en-US"/>
              </w:rPr>
              <w:t xml:space="preserve"> </w:t>
            </w:r>
          </w:p>
          <w:p w:rsidR="009B1F44" w:rsidRPr="009B1F44" w:rsidRDefault="009B1F44" w:rsidP="00A44022">
            <w:pPr>
              <w:spacing w:before="0" w:after="0"/>
              <w:rPr>
                <w:b/>
                <w:u w:val="single"/>
                <w:lang w:eastAsia="en-US"/>
              </w:rPr>
            </w:pPr>
            <w:r w:rsidRPr="009B1F44">
              <w:rPr>
                <w:b/>
                <w:u w:val="single"/>
                <w:lang w:eastAsia="en-US"/>
              </w:rPr>
              <w:t>Tsunami dangers for boats include:</w:t>
            </w:r>
          </w:p>
          <w:p w:rsidR="009B1F44" w:rsidRDefault="009B1F44" w:rsidP="00CA748D">
            <w:pPr>
              <w:pStyle w:val="Bullet"/>
              <w:rPr>
                <w:lang w:eastAsia="en-US"/>
              </w:rPr>
            </w:pPr>
            <w:r>
              <w:rPr>
                <w:lang w:eastAsia="en-US"/>
              </w:rPr>
              <w:t>Strong and unpredictable currents that can change direction quickly</w:t>
            </w:r>
          </w:p>
          <w:p w:rsidR="009B1F44" w:rsidRDefault="009B1F44" w:rsidP="00CA748D">
            <w:pPr>
              <w:pStyle w:val="Bullet"/>
              <w:rPr>
                <w:lang w:eastAsia="en-US"/>
              </w:rPr>
            </w:pPr>
            <w:r>
              <w:rPr>
                <w:lang w:eastAsia="en-US"/>
              </w:rPr>
              <w:t>Grounding of vessels as water level suddenly drops</w:t>
            </w:r>
          </w:p>
          <w:p w:rsidR="009B1F44" w:rsidRDefault="009B1F44" w:rsidP="00CA748D">
            <w:pPr>
              <w:pStyle w:val="Bullet"/>
              <w:rPr>
                <w:lang w:eastAsia="en-US"/>
              </w:rPr>
            </w:pPr>
            <w:r>
              <w:rPr>
                <w:lang w:eastAsia="en-US"/>
              </w:rPr>
              <w:t>Capsizing from incoming surges (bores), complex coastal waves and surges hitting grounded boats</w:t>
            </w:r>
          </w:p>
          <w:p w:rsidR="009B1F44" w:rsidRDefault="009B1F44" w:rsidP="00CA748D">
            <w:pPr>
              <w:pStyle w:val="Bullet"/>
              <w:rPr>
                <w:lang w:eastAsia="en-US"/>
              </w:rPr>
            </w:pPr>
            <w:r>
              <w:rPr>
                <w:lang w:eastAsia="en-US"/>
              </w:rPr>
              <w:t>Collision with other boats, docks, and debris</w:t>
            </w:r>
            <w:r w:rsidR="0091650A">
              <w:rPr>
                <w:lang w:eastAsia="en-US"/>
              </w:rPr>
              <w:t>.</w:t>
            </w:r>
          </w:p>
          <w:p w:rsidR="009B1F44" w:rsidRPr="009B1F44" w:rsidRDefault="009B1F44" w:rsidP="00A44022">
            <w:pPr>
              <w:spacing w:after="0"/>
              <w:rPr>
                <w:b/>
                <w:u w:val="single"/>
                <w:lang w:eastAsia="en-US"/>
              </w:rPr>
            </w:pPr>
            <w:r w:rsidRPr="009B1F44">
              <w:rPr>
                <w:b/>
                <w:u w:val="single"/>
                <w:lang w:eastAsia="en-US"/>
              </w:rPr>
              <w:t>Remember:</w:t>
            </w:r>
          </w:p>
          <w:p w:rsidR="009B1F44" w:rsidRDefault="009B1F44" w:rsidP="00CA748D">
            <w:pPr>
              <w:pStyle w:val="Bullet"/>
              <w:rPr>
                <w:lang w:eastAsia="en-US"/>
              </w:rPr>
            </w:pPr>
            <w:r>
              <w:rPr>
                <w:lang w:eastAsia="en-US"/>
              </w:rPr>
              <w:t>The first surge may not be the last or the largest</w:t>
            </w:r>
          </w:p>
          <w:p w:rsidR="009B1F44" w:rsidRDefault="009B1F44" w:rsidP="00CA748D">
            <w:pPr>
              <w:pStyle w:val="Bullet"/>
              <w:rPr>
                <w:lang w:eastAsia="en-US"/>
              </w:rPr>
            </w:pPr>
            <w:r>
              <w:rPr>
                <w:lang w:eastAsia="en-US"/>
              </w:rPr>
              <w:t>It is not unusual for tsunami surges to continue for 12 hours</w:t>
            </w:r>
          </w:p>
          <w:p w:rsidR="009B1F44" w:rsidRDefault="009B1F44" w:rsidP="00CA748D">
            <w:pPr>
              <w:pStyle w:val="Bullet"/>
              <w:rPr>
                <w:lang w:eastAsia="en-US"/>
              </w:rPr>
            </w:pPr>
            <w:r>
              <w:rPr>
                <w:lang w:eastAsia="en-US"/>
              </w:rPr>
              <w:t>Dangerous currents can persist in harbours for 60 hours or more</w:t>
            </w:r>
          </w:p>
          <w:p w:rsidR="009B1F44" w:rsidRPr="009B1F44" w:rsidRDefault="00491F30" w:rsidP="00CA748D">
            <w:pPr>
              <w:pStyle w:val="Bullet"/>
              <w:rPr>
                <w:lang w:eastAsia="en-US"/>
              </w:rPr>
            </w:pPr>
            <w:r>
              <w:rPr>
                <w:lang w:eastAsia="en-US"/>
              </w:rPr>
              <w:t xml:space="preserve">The </w:t>
            </w:r>
            <w:r w:rsidR="0086276C">
              <w:rPr>
                <w:lang w:eastAsia="en-US"/>
              </w:rPr>
              <w:t>M</w:t>
            </w:r>
            <w:r>
              <w:rPr>
                <w:lang w:eastAsia="en-US"/>
              </w:rPr>
              <w:t>inistry of Civil Defence &amp; Emergency Management</w:t>
            </w:r>
            <w:r w:rsidR="00855D8C">
              <w:rPr>
                <w:lang w:eastAsia="en-US"/>
              </w:rPr>
              <w:t xml:space="preserve"> </w:t>
            </w:r>
            <w:r w:rsidR="009B1F44">
              <w:rPr>
                <w:lang w:eastAsia="en-US"/>
              </w:rPr>
              <w:t xml:space="preserve">will </w:t>
            </w:r>
            <w:r>
              <w:rPr>
                <w:lang w:eastAsia="en-US"/>
              </w:rPr>
              <w:t>issue official</w:t>
            </w:r>
            <w:r w:rsidR="007A1C27">
              <w:t xml:space="preserve"> warnings and information </w:t>
            </w:r>
            <w:r>
              <w:rPr>
                <w:lang w:eastAsia="en-US"/>
              </w:rPr>
              <w:t>update</w:t>
            </w:r>
            <w:r w:rsidR="007A1C27">
              <w:rPr>
                <w:lang w:eastAsia="en-US"/>
              </w:rPr>
              <w:t>s via local emergency management agencies and the media, including</w:t>
            </w:r>
            <w:r w:rsidR="009B1F44">
              <w:rPr>
                <w:lang w:eastAsia="en-US"/>
              </w:rPr>
              <w:t xml:space="preserve"> </w:t>
            </w:r>
            <w:r w:rsidR="00FA41A1">
              <w:rPr>
                <w:lang w:eastAsia="en-US"/>
              </w:rPr>
              <w:t>h</w:t>
            </w:r>
            <w:r w:rsidR="009B1F44">
              <w:rPr>
                <w:lang w:eastAsia="en-US"/>
              </w:rPr>
              <w:t xml:space="preserve">ow long dangerous conditions </w:t>
            </w:r>
            <w:r>
              <w:rPr>
                <w:lang w:eastAsia="en-US"/>
              </w:rPr>
              <w:t xml:space="preserve">may </w:t>
            </w:r>
            <w:r w:rsidR="009B1F44">
              <w:rPr>
                <w:lang w:eastAsia="en-US"/>
              </w:rPr>
              <w:t>persist</w:t>
            </w:r>
            <w:r w:rsidR="007A1C27">
              <w:rPr>
                <w:lang w:eastAsia="en-US"/>
              </w:rPr>
              <w:t>.</w:t>
            </w:r>
            <w:r>
              <w:rPr>
                <w:lang w:eastAsia="en-US"/>
              </w:rPr>
              <w:t xml:space="preserve"> </w:t>
            </w:r>
          </w:p>
        </w:tc>
      </w:tr>
    </w:tbl>
    <w:p w:rsidR="002A0AB1" w:rsidRPr="002A0AB1" w:rsidRDefault="002A0AB1" w:rsidP="00A44022"/>
    <w:p w:rsidR="009B1F44" w:rsidRDefault="003B1D23" w:rsidP="00A44022">
      <w:pPr>
        <w:pStyle w:val="Heading1"/>
        <w:spacing w:after="120"/>
      </w:pPr>
      <w:bookmarkStart w:id="76" w:name="_Toc443381832"/>
      <w:r>
        <w:lastRenderedPageBreak/>
        <w:t>Reference</w:t>
      </w:r>
      <w:r w:rsidR="00154ACB">
        <w:t>s</w:t>
      </w:r>
      <w:bookmarkEnd w:id="76"/>
    </w:p>
    <w:tbl>
      <w:tblPr>
        <w:tblStyle w:val="TableGrid2"/>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3A00BE" w:rsidRPr="009B1F44" w:rsidTr="00DB32E7">
        <w:tc>
          <w:tcPr>
            <w:tcW w:w="1928" w:type="dxa"/>
            <w:tcMar>
              <w:right w:w="227" w:type="dxa"/>
            </w:tcMar>
          </w:tcPr>
          <w:p w:rsidR="003A00BE" w:rsidRPr="009B1F44" w:rsidRDefault="003A00BE" w:rsidP="00A44022">
            <w:pPr>
              <w:rPr>
                <w:rFonts w:ascii="Arial Narrow" w:hAnsi="Arial Narrow"/>
                <w:b/>
                <w:color w:val="005A9B" w:themeColor="background2"/>
              </w:rPr>
            </w:pPr>
          </w:p>
        </w:tc>
        <w:tc>
          <w:tcPr>
            <w:tcW w:w="7711" w:type="dxa"/>
          </w:tcPr>
          <w:p w:rsidR="003A00BE" w:rsidRDefault="003A00BE" w:rsidP="003A00BE">
            <w:pPr>
              <w:rPr>
                <w:lang w:eastAsia="en-US"/>
              </w:rPr>
            </w:pPr>
            <w:r>
              <w:rPr>
                <w:lang w:eastAsia="en-US"/>
              </w:rPr>
              <w:t>Berryman, K., (compiler), 2005. Review of Tsunami Hazard and Risk in New Zealand. GNS Science client report CR2005-104, Lower Hutt.</w:t>
            </w:r>
          </w:p>
          <w:p w:rsidR="003A00BE" w:rsidRDefault="003A00BE" w:rsidP="003A00BE">
            <w:pPr>
              <w:rPr>
                <w:lang w:eastAsia="en-US"/>
              </w:rPr>
            </w:pPr>
            <w:r>
              <w:rPr>
                <w:lang w:eastAsia="en-US"/>
              </w:rPr>
              <w:t xml:space="preserve">Cabinet Office Government of Japan. (2005). Guideline for Tsunami Evacuation Buildings. Tokyo. </w:t>
            </w:r>
            <w:hyperlink r:id="rId41" w:history="1">
              <w:r w:rsidRPr="007D4A21">
                <w:rPr>
                  <w:rStyle w:val="Hyperlink"/>
                </w:rPr>
                <w:t>http://www.bousai.go.jp/jishin/tsunami/hinan/hinanbiru.html</w:t>
              </w:r>
            </w:hyperlink>
            <w:r>
              <w:rPr>
                <w:lang w:eastAsia="en-US"/>
              </w:rPr>
              <w:t xml:space="preserve"> </w:t>
            </w:r>
          </w:p>
          <w:p w:rsidR="003A00BE" w:rsidRDefault="003A00BE" w:rsidP="003A00BE">
            <w:pPr>
              <w:rPr>
                <w:lang w:eastAsia="en-US"/>
              </w:rPr>
            </w:pPr>
            <w:proofErr w:type="spellStart"/>
            <w:r>
              <w:rPr>
                <w:lang w:eastAsia="en-US"/>
              </w:rPr>
              <w:t>DoC</w:t>
            </w:r>
            <w:proofErr w:type="spellEnd"/>
            <w:r>
              <w:rPr>
                <w:lang w:eastAsia="en-US"/>
              </w:rPr>
              <w:t>, 2010. New Zealand Coastal Policy Statement. Prepared by the New Zealand Department of Conservation. Wellington. 28p.</w:t>
            </w:r>
          </w:p>
          <w:p w:rsidR="003A00BE" w:rsidRDefault="003A00BE" w:rsidP="003A00BE">
            <w:pPr>
              <w:rPr>
                <w:lang w:eastAsia="en-US"/>
              </w:rPr>
            </w:pPr>
            <w:r>
              <w:rPr>
                <w:lang w:eastAsia="en-US"/>
              </w:rPr>
              <w:t xml:space="preserve">FEMA, 2008. Guidelines for Design of Structures for Vertical Evacuation from Tsunamis. Redwood City, California. FEMA P646. Prepared by the Applied Technology Council for the Federal Emergency Management Agency. </w:t>
            </w:r>
            <w:hyperlink r:id="rId42" w:history="1">
              <w:r w:rsidRPr="007D4A21">
                <w:rPr>
                  <w:rStyle w:val="Hyperlink"/>
                </w:rPr>
                <w:t>http://www.fema.gov/media-library-data/20130726-1641-20490-9063/femap646.pdf</w:t>
              </w:r>
            </w:hyperlink>
            <w:r>
              <w:rPr>
                <w:lang w:eastAsia="en-US"/>
              </w:rPr>
              <w:t xml:space="preserve"> </w:t>
            </w:r>
          </w:p>
          <w:p w:rsidR="003A00BE" w:rsidRDefault="003A00BE" w:rsidP="003A00BE">
            <w:pPr>
              <w:rPr>
                <w:lang w:eastAsia="en-US"/>
              </w:rPr>
            </w:pPr>
            <w:r>
              <w:rPr>
                <w:lang w:eastAsia="en-US"/>
              </w:rPr>
              <w:t xml:space="preserve">FEMA (2009). Vertical Evacuation from Tsunamis: A Guide for Community Officials. Redwood City, California. FEMA P646A. Prepared by the Applied Technology Council for the Federal Emergency Management Agency. </w:t>
            </w:r>
            <w:hyperlink r:id="rId43" w:history="1">
              <w:r w:rsidRPr="007D4A21">
                <w:rPr>
                  <w:rStyle w:val="Hyperlink"/>
                </w:rPr>
                <w:t>http://www.fema.gov/media-library-data/20130726-1719-25045-1822/fema_p646a.pdf</w:t>
              </w:r>
            </w:hyperlink>
            <w:r>
              <w:rPr>
                <w:lang w:eastAsia="en-US"/>
              </w:rPr>
              <w:t xml:space="preserve"> </w:t>
            </w:r>
          </w:p>
          <w:p w:rsidR="003A00BE" w:rsidRDefault="003A00BE" w:rsidP="003A00BE">
            <w:pPr>
              <w:rPr>
                <w:lang w:eastAsia="en-US"/>
              </w:rPr>
            </w:pPr>
            <w:r>
              <w:rPr>
                <w:lang w:eastAsia="en-US"/>
              </w:rPr>
              <w:t xml:space="preserve">FEMA, 2012. Guidelines for Design of Structures for Vertical Evacuation from Tsunamis - 2nd Edition. Redwood City, California. FEMA P646. Prepared by the Applied Technology Council for the Federal Emergency Management Agency. </w:t>
            </w:r>
            <w:hyperlink r:id="rId44" w:history="1">
              <w:r w:rsidRPr="007D4A21">
                <w:rPr>
                  <w:rStyle w:val="Hyperlink"/>
                </w:rPr>
                <w:t>http://www.atcouncil.org/files/FEMA P-646 Final.pdf</w:t>
              </w:r>
            </w:hyperlink>
            <w:r>
              <w:rPr>
                <w:lang w:eastAsia="en-US"/>
              </w:rPr>
              <w:t xml:space="preserve"> </w:t>
            </w:r>
          </w:p>
          <w:p w:rsidR="003A00BE" w:rsidRDefault="003A00BE" w:rsidP="003A00BE">
            <w:pPr>
              <w:rPr>
                <w:lang w:eastAsia="en-US"/>
              </w:rPr>
            </w:pPr>
            <w:r>
              <w:rPr>
                <w:lang w:eastAsia="en-US"/>
              </w:rPr>
              <w:t>Fraser, S. A., Leonard, G. S., Murakami, H., and Matsuo, I., 2012. Tsunami Vertical Evacuation Buildings --- Lessons for International Preparedness Following the 2011 Great East Japan Tsunami. Journal of Disaster Research, 7(7), 446–457.</w:t>
            </w:r>
          </w:p>
          <w:p w:rsidR="003A00BE" w:rsidRDefault="003A00BE" w:rsidP="003A00BE">
            <w:pPr>
              <w:rPr>
                <w:lang w:eastAsia="en-US"/>
              </w:rPr>
            </w:pPr>
            <w:r>
              <w:rPr>
                <w:lang w:eastAsia="en-US"/>
              </w:rPr>
              <w:t>Fraser, S. A. and Power, W. L., 2013. Validation of a GIS-based attenuation rule for indicative tsunami evacuation zone mapping. GNS Science Report 2013/02. Lower Hutt. 21 p.</w:t>
            </w:r>
          </w:p>
          <w:p w:rsidR="003A00BE" w:rsidRDefault="003A00BE" w:rsidP="003A00BE">
            <w:pPr>
              <w:rPr>
                <w:lang w:eastAsia="en-US"/>
              </w:rPr>
            </w:pPr>
            <w:r>
              <w:rPr>
                <w:lang w:eastAsia="en-US"/>
              </w:rPr>
              <w:t>Leonard, G., (compiler), 2008. Draft guidelines for consistent New Zealand tsunami evacuation mapping. GNS Science Report SR2008/30, Lower Hutt. 18p.</w:t>
            </w:r>
          </w:p>
          <w:p w:rsidR="003A00BE" w:rsidRDefault="003A00BE" w:rsidP="003A00BE">
            <w:r>
              <w:t xml:space="preserve">Leonard, G.S.; Power, W.; </w:t>
            </w:r>
            <w:proofErr w:type="spellStart"/>
            <w:r>
              <w:t>Lukovic</w:t>
            </w:r>
            <w:proofErr w:type="spellEnd"/>
            <w:r>
              <w:t xml:space="preserve">, B.; Smith, W.; Johnston, D.; and </w:t>
            </w:r>
            <w:proofErr w:type="spellStart"/>
            <w:r>
              <w:t>Downes</w:t>
            </w:r>
            <w:proofErr w:type="spellEnd"/>
            <w:r>
              <w:t>, G., 2008. Tsunami evacuation zones for Wellington and Horizons regions defined by a GIS-calculated attenuation rule, GNS Science Report 2008/30. 22p.</w:t>
            </w:r>
          </w:p>
          <w:p w:rsidR="003A00BE" w:rsidRDefault="003A00BE" w:rsidP="003A00BE">
            <w:r>
              <w:rPr>
                <w:rFonts w:cs="Arial"/>
              </w:rPr>
              <w:t xml:space="preserve">Leonard, G.S. and Wright, K.C. 2010. Evaluation of Get Ready Get Thru The Vines, </w:t>
            </w:r>
            <w:r w:rsidRPr="008E4607">
              <w:rPr>
                <w:rFonts w:cs="Arial"/>
                <w:iCs/>
              </w:rPr>
              <w:t>GNS Science Report</w:t>
            </w:r>
            <w:r>
              <w:rPr>
                <w:rFonts w:cs="Arial"/>
                <w:i/>
                <w:iCs/>
              </w:rPr>
              <w:t xml:space="preserve"> </w:t>
            </w:r>
            <w:r>
              <w:rPr>
                <w:rFonts w:cs="Arial"/>
              </w:rPr>
              <w:t>2011/01</w:t>
            </w:r>
            <w:r>
              <w:rPr>
                <w:rFonts w:cs="Arial"/>
                <w:i/>
                <w:iCs/>
              </w:rPr>
              <w:t xml:space="preserve">. </w:t>
            </w:r>
            <w:r>
              <w:rPr>
                <w:rFonts w:cs="Arial"/>
              </w:rPr>
              <w:t>22p.</w:t>
            </w:r>
          </w:p>
          <w:p w:rsidR="003A00BE" w:rsidRDefault="003A00BE" w:rsidP="003A00BE"/>
        </w:tc>
      </w:tr>
    </w:tbl>
    <w:p w:rsidR="003A00BE" w:rsidRDefault="003A00BE"/>
    <w:p w:rsidR="003A00BE" w:rsidRDefault="003A00BE">
      <w:pPr>
        <w:spacing w:before="0" w:after="0" w:line="240" w:lineRule="auto"/>
      </w:pPr>
      <w:r>
        <w:br w:type="page"/>
      </w:r>
    </w:p>
    <w:tbl>
      <w:tblPr>
        <w:tblStyle w:val="TableGrid2"/>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3B1D23" w:rsidRPr="009B1F44" w:rsidTr="00DB32E7">
        <w:tc>
          <w:tcPr>
            <w:tcW w:w="1928" w:type="dxa"/>
            <w:tcMar>
              <w:right w:w="227" w:type="dxa"/>
            </w:tcMar>
          </w:tcPr>
          <w:p w:rsidR="003B1D23" w:rsidRPr="009B1F44" w:rsidRDefault="003B1D23" w:rsidP="00A44022">
            <w:pPr>
              <w:rPr>
                <w:rFonts w:ascii="Arial Narrow" w:hAnsi="Arial Narrow"/>
                <w:b/>
                <w:color w:val="005A9B" w:themeColor="background2"/>
                <w:lang w:eastAsia="en-US"/>
              </w:rPr>
            </w:pPr>
          </w:p>
        </w:tc>
        <w:tc>
          <w:tcPr>
            <w:tcW w:w="7711" w:type="dxa"/>
          </w:tcPr>
          <w:p w:rsidR="00A46DF7" w:rsidRPr="003A00BE" w:rsidRDefault="00A46DF7" w:rsidP="003A00BE">
            <w:pPr>
              <w:rPr>
                <w:i/>
              </w:rPr>
            </w:pPr>
            <w:r w:rsidRPr="003A00BE">
              <w:rPr>
                <w:i/>
              </w:rPr>
              <w:t>Th</w:t>
            </w:r>
            <w:r w:rsidR="002E41FA" w:rsidRPr="003A00BE">
              <w:rPr>
                <w:i/>
              </w:rPr>
              <w:t>e following</w:t>
            </w:r>
            <w:r w:rsidRPr="003A00BE">
              <w:rPr>
                <w:i/>
              </w:rPr>
              <w:t xml:space="preserve"> publication</w:t>
            </w:r>
            <w:r w:rsidR="002E41FA" w:rsidRPr="003A00BE">
              <w:rPr>
                <w:i/>
              </w:rPr>
              <w:t>s</w:t>
            </w:r>
            <w:r w:rsidRPr="003A00BE">
              <w:rPr>
                <w:i/>
              </w:rPr>
              <w:t xml:space="preserve"> are available on the Ministry of Civil Defence &amp; Emergency Management website </w:t>
            </w:r>
            <w:hyperlink r:id="rId45" w:history="1">
              <w:r w:rsidRPr="003A00BE">
                <w:rPr>
                  <w:i/>
                  <w:color w:val="0000FF"/>
                  <w:u w:val="single"/>
                </w:rPr>
                <w:t>www.civildefence.govt.nz</w:t>
              </w:r>
            </w:hyperlink>
            <w:r w:rsidRPr="003A00BE">
              <w:rPr>
                <w:i/>
              </w:rPr>
              <w:t xml:space="preserve"> (search for each document by name).</w:t>
            </w:r>
          </w:p>
          <w:p w:rsidR="001A77B8" w:rsidRDefault="001A77B8" w:rsidP="00A44022">
            <w:pPr>
              <w:spacing w:before="240" w:after="240"/>
              <w:rPr>
                <w:lang w:eastAsia="en-US"/>
              </w:rPr>
            </w:pPr>
            <w:r>
              <w:rPr>
                <w:lang w:eastAsia="en-US"/>
              </w:rPr>
              <w:t>MCDEM</w:t>
            </w:r>
            <w:r w:rsidR="00BB3C4A">
              <w:rPr>
                <w:lang w:eastAsia="en-US"/>
              </w:rPr>
              <w:t xml:space="preserve">, </w:t>
            </w:r>
            <w:r>
              <w:rPr>
                <w:lang w:eastAsia="en-US"/>
              </w:rPr>
              <w:t xml:space="preserve">2008. Mass Evacuation Planning Director’s Guideline for Civil Defence Emergency Management Groups [DGL 07/08], Prepared by Ministry of Civil Defence </w:t>
            </w:r>
            <w:r w:rsidR="00F73747">
              <w:rPr>
                <w:lang w:eastAsia="en-US"/>
              </w:rPr>
              <w:t>&amp;</w:t>
            </w:r>
            <w:r>
              <w:rPr>
                <w:lang w:eastAsia="en-US"/>
              </w:rPr>
              <w:t xml:space="preserve"> Emergency Management, Wellington. 86p.</w:t>
            </w:r>
          </w:p>
          <w:p w:rsidR="003B1D23" w:rsidRDefault="003B1D23" w:rsidP="00A44022">
            <w:pPr>
              <w:spacing w:before="240" w:after="240"/>
              <w:rPr>
                <w:lang w:eastAsia="en-US"/>
              </w:rPr>
            </w:pPr>
            <w:r>
              <w:rPr>
                <w:lang w:eastAsia="en-US"/>
              </w:rPr>
              <w:t>M</w:t>
            </w:r>
            <w:r w:rsidR="001A77B8">
              <w:rPr>
                <w:lang w:eastAsia="en-US"/>
              </w:rPr>
              <w:t>CDEM</w:t>
            </w:r>
            <w:r w:rsidR="00BB3C4A">
              <w:rPr>
                <w:lang w:eastAsia="en-US"/>
              </w:rPr>
              <w:t>,</w:t>
            </w:r>
            <w:r w:rsidR="001A77B8">
              <w:rPr>
                <w:lang w:eastAsia="en-US"/>
              </w:rPr>
              <w:t xml:space="preserve"> 2008a. </w:t>
            </w:r>
            <w:r>
              <w:rPr>
                <w:lang w:eastAsia="en-US"/>
              </w:rPr>
              <w:t xml:space="preserve">National Tsunami Signage, Technical Standard for the CDEM Sector [TS01/08]. </w:t>
            </w:r>
            <w:r w:rsidR="001A77B8">
              <w:rPr>
                <w:lang w:eastAsia="en-US"/>
              </w:rPr>
              <w:t xml:space="preserve">Prepared by Ministry of Civil Defence </w:t>
            </w:r>
            <w:r w:rsidR="00F73747">
              <w:rPr>
                <w:lang w:eastAsia="en-US"/>
              </w:rPr>
              <w:t>&amp;</w:t>
            </w:r>
            <w:r w:rsidR="001A77B8">
              <w:rPr>
                <w:lang w:eastAsia="en-US"/>
              </w:rPr>
              <w:t xml:space="preserve"> Emergency Management, </w:t>
            </w:r>
            <w:r>
              <w:rPr>
                <w:lang w:eastAsia="en-US"/>
              </w:rPr>
              <w:t>Wellington. 19p.</w:t>
            </w:r>
          </w:p>
          <w:p w:rsidR="003B1D23" w:rsidRDefault="003B1D23" w:rsidP="00A44022">
            <w:pPr>
              <w:spacing w:before="240" w:after="240"/>
              <w:rPr>
                <w:lang w:eastAsia="en-US"/>
              </w:rPr>
            </w:pPr>
            <w:r>
              <w:rPr>
                <w:lang w:eastAsia="en-US"/>
              </w:rPr>
              <w:t>MCDEM</w:t>
            </w:r>
            <w:r w:rsidR="00BB3C4A">
              <w:rPr>
                <w:lang w:eastAsia="en-US"/>
              </w:rPr>
              <w:t>,</w:t>
            </w:r>
            <w:r w:rsidR="002C4FB3">
              <w:rPr>
                <w:lang w:eastAsia="en-US"/>
              </w:rPr>
              <w:t xml:space="preserve"> </w:t>
            </w:r>
            <w:r>
              <w:rPr>
                <w:lang w:eastAsia="en-US"/>
              </w:rPr>
              <w:t xml:space="preserve">2010. Community Engagement in the CDEM context Best Practice Guideline for Civil Defence Emergency Management Sector [BPG 4/10]. </w:t>
            </w:r>
            <w:r w:rsidR="001A77B8">
              <w:rPr>
                <w:lang w:eastAsia="en-US"/>
              </w:rPr>
              <w:t xml:space="preserve">Prepared by Ministry of Civil Defence </w:t>
            </w:r>
            <w:r w:rsidR="00F73747">
              <w:rPr>
                <w:lang w:eastAsia="en-US"/>
              </w:rPr>
              <w:t>&amp;</w:t>
            </w:r>
            <w:r w:rsidR="001A77B8">
              <w:rPr>
                <w:lang w:eastAsia="en-US"/>
              </w:rPr>
              <w:t xml:space="preserve"> Emergency Management, </w:t>
            </w:r>
            <w:r>
              <w:rPr>
                <w:lang w:eastAsia="en-US"/>
              </w:rPr>
              <w:t>Wellington. 38p.</w:t>
            </w:r>
          </w:p>
          <w:p w:rsidR="00F836BF" w:rsidRDefault="00F836BF" w:rsidP="00A44022">
            <w:pPr>
              <w:spacing w:before="240" w:after="240"/>
              <w:rPr>
                <w:lang w:eastAsia="en-US"/>
              </w:rPr>
            </w:pPr>
            <w:r>
              <w:rPr>
                <w:lang w:eastAsia="en-US"/>
              </w:rPr>
              <w:t xml:space="preserve">MCDEM, 2014. National Tsunami Advisory and Warning Plan. Prepared by Ministry of Civil Defence &amp; Emergency Management, Wellington. </w:t>
            </w:r>
            <w:r w:rsidR="00210FBF">
              <w:rPr>
                <w:lang w:eastAsia="en-US"/>
              </w:rPr>
              <w:t>71</w:t>
            </w:r>
            <w:r>
              <w:rPr>
                <w:lang w:eastAsia="en-US"/>
              </w:rPr>
              <w:t>p.</w:t>
            </w:r>
          </w:p>
          <w:p w:rsidR="003B4AC9" w:rsidRDefault="003B4AC9" w:rsidP="00A44022">
            <w:pPr>
              <w:spacing w:before="240" w:after="240"/>
              <w:rPr>
                <w:lang w:eastAsia="en-US"/>
              </w:rPr>
            </w:pPr>
            <w:r>
              <w:rPr>
                <w:rFonts w:cs="Arial"/>
                <w:lang w:val="en-GB" w:eastAsia="en-GB"/>
              </w:rPr>
              <w:t>MCDEM</w:t>
            </w:r>
            <w:r w:rsidR="00BB3C4A">
              <w:rPr>
                <w:rFonts w:cs="Arial"/>
                <w:lang w:val="en-GB" w:eastAsia="en-GB"/>
              </w:rPr>
              <w:t>,</w:t>
            </w:r>
            <w:r>
              <w:rPr>
                <w:rFonts w:cs="Arial"/>
                <w:lang w:val="en-GB" w:eastAsia="en-GB"/>
              </w:rPr>
              <w:t xml:space="preserve"> 2014</w:t>
            </w:r>
            <w:r w:rsidR="00F836BF">
              <w:rPr>
                <w:rFonts w:cs="Arial"/>
                <w:lang w:val="en-GB" w:eastAsia="en-GB"/>
              </w:rPr>
              <w:t>a</w:t>
            </w:r>
            <w:r>
              <w:rPr>
                <w:rFonts w:cs="Arial"/>
                <w:lang w:val="en-GB" w:eastAsia="en-GB"/>
              </w:rPr>
              <w:t xml:space="preserve">. </w:t>
            </w:r>
            <w:r w:rsidRPr="00994F31">
              <w:rPr>
                <w:rFonts w:cs="Arial"/>
                <w:lang w:val="en-GB" w:eastAsia="en-GB"/>
              </w:rPr>
              <w:t>Tsunami Warning Sirens Technical Standard [TS03/14]</w:t>
            </w:r>
            <w:r w:rsidR="00F73747">
              <w:rPr>
                <w:rFonts w:cs="Arial"/>
                <w:lang w:val="en-GB" w:eastAsia="en-GB"/>
              </w:rPr>
              <w:t xml:space="preserve">. </w:t>
            </w:r>
            <w:r w:rsidR="00F73747">
              <w:rPr>
                <w:lang w:eastAsia="en-US"/>
              </w:rPr>
              <w:t>Prepared by Ministry of Civil Defence &amp; Emergency Management, Wellington. 14p.</w:t>
            </w:r>
          </w:p>
          <w:p w:rsidR="003B1D23" w:rsidRDefault="003B1D23" w:rsidP="00A44022">
            <w:pPr>
              <w:pStyle w:val="ListParagraph"/>
              <w:ind w:left="0"/>
              <w:contextualSpacing w:val="0"/>
              <w:rPr>
                <w:lang w:eastAsia="en-US"/>
              </w:rPr>
            </w:pPr>
            <w:r>
              <w:rPr>
                <w:lang w:eastAsia="en-US"/>
              </w:rPr>
              <w:t>MCDEM</w:t>
            </w:r>
            <w:r w:rsidR="00BB3C4A">
              <w:rPr>
                <w:lang w:eastAsia="en-US"/>
              </w:rPr>
              <w:t>,</w:t>
            </w:r>
            <w:r w:rsidR="002C4FB3">
              <w:rPr>
                <w:lang w:eastAsia="en-US"/>
              </w:rPr>
              <w:t xml:space="preserve"> </w:t>
            </w:r>
            <w:r>
              <w:rPr>
                <w:lang w:eastAsia="en-US"/>
              </w:rPr>
              <w:t>201</w:t>
            </w:r>
            <w:r w:rsidR="002F6F29">
              <w:rPr>
                <w:lang w:eastAsia="en-US"/>
              </w:rPr>
              <w:t>5</w:t>
            </w:r>
            <w:r>
              <w:rPr>
                <w:lang w:eastAsia="en-US"/>
              </w:rPr>
              <w:t xml:space="preserve">. </w:t>
            </w:r>
            <w:r w:rsidR="009C6E79">
              <w:t>Welfare Services in an Emergency: Director's Guideline for CDEM Groups and agencies with responsibilities in an emergency [DGL 11/15]</w:t>
            </w:r>
            <w:r w:rsidR="002F6F29">
              <w:t>.</w:t>
            </w:r>
            <w:r w:rsidR="009C6E79">
              <w:t xml:space="preserve"> </w:t>
            </w:r>
            <w:r w:rsidR="001A77B8">
              <w:rPr>
                <w:lang w:eastAsia="en-US"/>
              </w:rPr>
              <w:t xml:space="preserve">Prepared by Ministry of Civil Defence </w:t>
            </w:r>
            <w:r w:rsidR="00F73747">
              <w:rPr>
                <w:lang w:eastAsia="en-US"/>
              </w:rPr>
              <w:t>&amp;</w:t>
            </w:r>
            <w:r w:rsidR="001A77B8">
              <w:rPr>
                <w:lang w:eastAsia="en-US"/>
              </w:rPr>
              <w:t xml:space="preserve"> Emergency Management, </w:t>
            </w:r>
            <w:r>
              <w:rPr>
                <w:lang w:eastAsia="en-US"/>
              </w:rPr>
              <w:t xml:space="preserve">Wellington. </w:t>
            </w:r>
            <w:r w:rsidR="002F6F29">
              <w:t>260p.</w:t>
            </w:r>
          </w:p>
          <w:p w:rsidR="003B1D23" w:rsidRDefault="003B1D23" w:rsidP="00A44022">
            <w:pPr>
              <w:spacing w:before="240" w:after="240"/>
              <w:rPr>
                <w:lang w:eastAsia="en-US"/>
              </w:rPr>
            </w:pPr>
            <w:r>
              <w:rPr>
                <w:lang w:eastAsia="en-US"/>
              </w:rPr>
              <w:t>Power, W. L.</w:t>
            </w:r>
            <w:r w:rsidR="00237703">
              <w:rPr>
                <w:lang w:eastAsia="en-US"/>
              </w:rPr>
              <w:t>,</w:t>
            </w:r>
            <w:r>
              <w:rPr>
                <w:lang w:eastAsia="en-US"/>
              </w:rPr>
              <w:t xml:space="preserve"> (compiler)</w:t>
            </w:r>
            <w:proofErr w:type="gramStart"/>
            <w:r>
              <w:rPr>
                <w:lang w:eastAsia="en-US"/>
              </w:rPr>
              <w:t>.</w:t>
            </w:r>
            <w:r w:rsidR="00BB3C4A">
              <w:rPr>
                <w:lang w:eastAsia="en-US"/>
              </w:rPr>
              <w:t>,</w:t>
            </w:r>
            <w:proofErr w:type="gramEnd"/>
            <w:r>
              <w:rPr>
                <w:lang w:eastAsia="en-US"/>
              </w:rPr>
              <w:t xml:space="preserve"> 2013. Review of Tsunami Hazard in New Zealand (2013 Update), GNS Science Consultancy Report 2013/131. 222 p.</w:t>
            </w:r>
          </w:p>
          <w:p w:rsidR="003B1D23" w:rsidRDefault="003B1D23" w:rsidP="00A44022">
            <w:pPr>
              <w:spacing w:before="240" w:after="240"/>
              <w:rPr>
                <w:lang w:eastAsia="en-US"/>
              </w:rPr>
            </w:pPr>
            <w:r>
              <w:rPr>
                <w:lang w:eastAsia="en-US"/>
              </w:rPr>
              <w:t xml:space="preserve">Saunders, W.S.A.; </w:t>
            </w:r>
            <w:proofErr w:type="spellStart"/>
            <w:r>
              <w:rPr>
                <w:lang w:eastAsia="en-US"/>
              </w:rPr>
              <w:t>Prasetya</w:t>
            </w:r>
            <w:proofErr w:type="spellEnd"/>
            <w:r>
              <w:rPr>
                <w:lang w:eastAsia="en-US"/>
              </w:rPr>
              <w:t>, G. and Leonard, G.S.</w:t>
            </w:r>
            <w:r w:rsidR="00BB3C4A">
              <w:rPr>
                <w:lang w:eastAsia="en-US"/>
              </w:rPr>
              <w:t>,</w:t>
            </w:r>
            <w:r>
              <w:rPr>
                <w:lang w:eastAsia="en-US"/>
              </w:rPr>
              <w:t xml:space="preserve"> 2011. New Zealand’s Next Top Model: Integrating tsunami inundation modelling into land use planning, GNS Science Miscellaneous Series 34, 42p.</w:t>
            </w:r>
          </w:p>
          <w:p w:rsidR="003B1D23" w:rsidRPr="009B1F44" w:rsidRDefault="003B1D23" w:rsidP="00A44022">
            <w:pPr>
              <w:spacing w:before="240" w:after="240"/>
              <w:rPr>
                <w:lang w:eastAsia="en-US"/>
              </w:rPr>
            </w:pPr>
            <w:r>
              <w:rPr>
                <w:lang w:eastAsia="en-US"/>
              </w:rPr>
              <w:t>Webb T</w:t>
            </w:r>
            <w:r w:rsidR="00424C96">
              <w:rPr>
                <w:lang w:eastAsia="en-US"/>
              </w:rPr>
              <w:t>.</w:t>
            </w:r>
            <w:r>
              <w:rPr>
                <w:lang w:eastAsia="en-US"/>
              </w:rPr>
              <w:t xml:space="preserve">, (compiler), 2005. Review of New Zealand's preparedness for tsunami hazard, comparison to risk and recommendations for treatment. GNS Science Client Report 2005/162, 104p. </w:t>
            </w:r>
            <w:proofErr w:type="gramStart"/>
            <w:r>
              <w:rPr>
                <w:lang w:eastAsia="en-US"/>
              </w:rPr>
              <w:t>plus</w:t>
            </w:r>
            <w:proofErr w:type="gramEnd"/>
            <w:r>
              <w:rPr>
                <w:lang w:eastAsia="en-US"/>
              </w:rPr>
              <w:t xml:space="preserve"> appendices.</w:t>
            </w:r>
          </w:p>
        </w:tc>
      </w:tr>
    </w:tbl>
    <w:p w:rsidR="00930640" w:rsidRDefault="00930640" w:rsidP="00A44022">
      <w:pPr>
        <w:pStyle w:val="ListParagraph"/>
        <w:contextualSpacing w:val="0"/>
      </w:pPr>
    </w:p>
    <w:p w:rsidR="00930640" w:rsidRDefault="00930640">
      <w:pPr>
        <w:spacing w:before="0" w:after="0" w:line="240" w:lineRule="auto"/>
      </w:pPr>
      <w:r>
        <w:br w:type="page"/>
      </w:r>
    </w:p>
    <w:p w:rsidR="005308C0" w:rsidRDefault="005308C0" w:rsidP="00A44022">
      <w:pPr>
        <w:pStyle w:val="ListParagraph"/>
        <w:contextualSpacing w:val="0"/>
      </w:pPr>
    </w:p>
    <w:p w:rsidR="00930640" w:rsidRDefault="00930640" w:rsidP="00A44022">
      <w:pPr>
        <w:pStyle w:val="ListParagraph"/>
        <w:contextualSpacing w:val="0"/>
        <w:sectPr w:rsidR="00930640" w:rsidSect="001C747A">
          <w:pgSz w:w="11907" w:h="16840" w:code="9"/>
          <w:pgMar w:top="1191" w:right="1021" w:bottom="794" w:left="1361" w:header="568" w:footer="340" w:gutter="0"/>
          <w:cols w:space="720"/>
          <w:docGrid w:linePitch="326"/>
        </w:sectPr>
      </w:pPr>
    </w:p>
    <w:p w:rsidR="00977807" w:rsidRPr="00977807" w:rsidRDefault="00015AC2" w:rsidP="00A44022">
      <w:pPr>
        <w:pStyle w:val="Instruction"/>
      </w:pPr>
      <w:r w:rsidRPr="005126DA">
        <w:rPr>
          <w:noProof/>
          <w:lang w:eastAsia="en-NZ"/>
        </w:rPr>
        <w:lastRenderedPageBreak/>
        <w:drawing>
          <wp:anchor distT="0" distB="0" distL="114300" distR="114300" simplePos="0" relativeHeight="251726848" behindDoc="0" locked="0" layoutInCell="1" allowOverlap="1" wp14:anchorId="7000C300" wp14:editId="6845D15B">
            <wp:simplePos x="0" y="0"/>
            <wp:positionH relativeFrom="page">
              <wp:posOffset>-19050</wp:posOffset>
            </wp:positionH>
            <wp:positionV relativeFrom="page">
              <wp:posOffset>0</wp:posOffset>
            </wp:positionV>
            <wp:extent cx="7596504" cy="10742315"/>
            <wp:effectExtent l="0" t="0" r="5080" b="1905"/>
            <wp:wrapSquare wrapText="bothSides"/>
            <wp:docPr id="7" name="Picture 39" descr="This image shows the back cover of the Tsunami Evacuation Zones Director's Guideline. " titl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7596504" cy="10742315"/>
                    </a:xfrm>
                    <a:prstGeom prst="rect">
                      <a:avLst/>
                    </a:prstGeom>
                    <a:noFill/>
                  </pic:spPr>
                </pic:pic>
              </a:graphicData>
            </a:graphic>
            <wp14:sizeRelH relativeFrom="page">
              <wp14:pctWidth>0</wp14:pctWidth>
            </wp14:sizeRelH>
            <wp14:sizeRelV relativeFrom="page">
              <wp14:pctHeight>0</wp14:pctHeight>
            </wp14:sizeRelV>
          </wp:anchor>
        </w:drawing>
      </w:r>
    </w:p>
    <w:sectPr w:rsidR="00977807" w:rsidRPr="00977807" w:rsidSect="00950CB1">
      <w:headerReference w:type="default" r:id="rId47"/>
      <w:footerReference w:type="even" r:id="rId48"/>
      <w:footerReference w:type="default" r:id="rId49"/>
      <w:pgSz w:w="11907" w:h="16840" w:code="9"/>
      <w:pgMar w:top="1191" w:right="1021" w:bottom="794" w:left="1361" w:header="284" w:footer="318"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3989" w:rsidRDefault="00953989" w:rsidP="003C4DF1">
      <w:r>
        <w:separator/>
      </w:r>
    </w:p>
    <w:p w:rsidR="00953989" w:rsidRDefault="00953989"/>
  </w:endnote>
  <w:endnote w:type="continuationSeparator" w:id="0">
    <w:p w:rsidR="00953989" w:rsidRDefault="00953989" w:rsidP="003C4DF1">
      <w:r>
        <w:continuationSeparator/>
      </w:r>
    </w:p>
    <w:p w:rsidR="00953989" w:rsidRDefault="009539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Mäori">
    <w:altName w:val="Times New Roman"/>
    <w:charset w:val="00"/>
    <w:family w:val="roman"/>
    <w:pitch w:val="variable"/>
    <w:sig w:usb0="00000000"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989" w:rsidRPr="00E7508E" w:rsidRDefault="00953989" w:rsidP="00613F58">
    <w:pPr>
      <w:tabs>
        <w:tab w:val="left" w:pos="284"/>
        <w:tab w:val="right" w:pos="9498"/>
        <w:tab w:val="right" w:pos="14742"/>
        <w:tab w:val="right" w:pos="15168"/>
      </w:tabs>
    </w:pPr>
    <w:r>
      <w:rPr>
        <w:rStyle w:val="MCDEMfooterpagenumber"/>
      </w:rPr>
      <w:tab/>
    </w:r>
    <w:r w:rsidRPr="0004153D">
      <w:rPr>
        <w:rStyle w:val="MCDEMfooteroddChar"/>
      </w:rPr>
      <w:t>Tsunami Evacuation Zones</w:t>
    </w:r>
    <w:r w:rsidRPr="009F6AEB">
      <w:rPr>
        <w:rStyle w:val="MCDEMfooteroddChar"/>
      </w:rPr>
      <w:t xml:space="preserve"> Director’s Guideline</w:t>
    </w:r>
    <w:r w:rsidRPr="009F6AEB">
      <w:t xml:space="preserve"> </w:t>
    </w:r>
    <w:r w:rsidRPr="009F6AEB">
      <w:rPr>
        <w:rStyle w:val="MCDEMfooteroddcode"/>
      </w:rPr>
      <w:t xml:space="preserve">[DGL </w:t>
    </w:r>
    <w:r>
      <w:rPr>
        <w:rStyle w:val="MCDEMfooteroddcode"/>
      </w:rPr>
      <w:t>08/16]</w:t>
    </w:r>
    <w:r>
      <w:rPr>
        <w:rStyle w:val="MCDEMfooteroddcode"/>
      </w:rPr>
      <w:tab/>
    </w:r>
    <w:fldSimple w:instr=" FILENAME   \* MERGEFORMAT ">
      <w:r w:rsidR="009B2134" w:rsidRPr="009B2134">
        <w:rPr>
          <w:rStyle w:val="MCDEMfooteroddChar"/>
          <w:noProof/>
        </w:rPr>
        <w:t>3122713</w:t>
      </w:r>
      <w:r w:rsidR="009B2134">
        <w:rPr>
          <w:noProof/>
        </w:rPr>
        <w:t>_1</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989" w:rsidRDefault="00953989">
    <w:pPr>
      <w:spacing w:before="1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989" w:rsidRPr="00E7508E" w:rsidRDefault="00953989" w:rsidP="00613F58">
    <w:pPr>
      <w:tabs>
        <w:tab w:val="left" w:pos="284"/>
        <w:tab w:val="right" w:pos="9498"/>
        <w:tab w:val="right" w:pos="14742"/>
        <w:tab w:val="right" w:pos="15168"/>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989" w:rsidRPr="00E7508E" w:rsidRDefault="00953989" w:rsidP="00613F58">
    <w:pPr>
      <w:tabs>
        <w:tab w:val="left" w:pos="284"/>
        <w:tab w:val="right" w:pos="9498"/>
        <w:tab w:val="right" w:pos="14742"/>
        <w:tab w:val="right" w:pos="15168"/>
      </w:tabs>
    </w:pPr>
    <w:r>
      <w:rPr>
        <w:rStyle w:val="MCDEMfooterpagenumber"/>
      </w:rPr>
      <w:fldChar w:fldCharType="begin"/>
    </w:r>
    <w:r>
      <w:rPr>
        <w:rStyle w:val="MCDEMfooterpagenumber"/>
      </w:rPr>
      <w:instrText xml:space="preserve"> PAGE   \* MERGEFORMAT </w:instrText>
    </w:r>
    <w:r>
      <w:rPr>
        <w:rStyle w:val="MCDEMfooterpagenumber"/>
      </w:rPr>
      <w:fldChar w:fldCharType="separate"/>
    </w:r>
    <w:r w:rsidR="002241BA">
      <w:rPr>
        <w:rStyle w:val="MCDEMfooterpagenumber"/>
        <w:noProof/>
      </w:rPr>
      <w:t>ii</w:t>
    </w:r>
    <w:r>
      <w:rPr>
        <w:rStyle w:val="MCDEMfooterpagenumber"/>
      </w:rPr>
      <w:fldChar w:fldCharType="end"/>
    </w:r>
    <w:r>
      <w:rPr>
        <w:rStyle w:val="MCDEMfooterpagenumber"/>
      </w:rPr>
      <w:tab/>
    </w:r>
    <w:r>
      <w:rPr>
        <w:rStyle w:val="MCDEMfooteroddChar"/>
      </w:rPr>
      <w:t>Tsunami Evacuation Zones</w:t>
    </w:r>
    <w:r w:rsidRPr="000E4A15">
      <w:rPr>
        <w:rStyle w:val="MCDEMfooteroddChar"/>
      </w:rPr>
      <w:t xml:space="preserve"> Director’s Guideline</w:t>
    </w:r>
    <w:r w:rsidRPr="00026C4D">
      <w:rPr>
        <w:b/>
      </w:rPr>
      <w:t xml:space="preserve"> </w:t>
    </w:r>
    <w:r w:rsidRPr="00026C4D">
      <w:rPr>
        <w:rStyle w:val="MCDEMfooteroddcode"/>
        <w:b/>
      </w:rPr>
      <w:t>[DGL 08/16]</w:t>
    </w:r>
    <w:r>
      <w:rPr>
        <w:rStyle w:val="MCDEMfooteroddcode"/>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989" w:rsidRPr="009F6AEB" w:rsidRDefault="00953989" w:rsidP="00304ADD">
    <w:pPr>
      <w:tabs>
        <w:tab w:val="right" w:pos="9214"/>
        <w:tab w:val="right" w:pos="9498"/>
        <w:tab w:val="right" w:pos="14742"/>
        <w:tab w:val="right" w:pos="15168"/>
      </w:tabs>
    </w:pPr>
    <w:r w:rsidRPr="003C687A">
      <w:rPr>
        <w:rStyle w:val="MCDEMfooteroddChar"/>
      </w:rPr>
      <w:tab/>
    </w:r>
    <w:r w:rsidRPr="00DE0FBF">
      <w:rPr>
        <w:rStyle w:val="MCDEMfooteroddChar"/>
      </w:rPr>
      <w:t>Tsunami Evacuation Zones Director’s Guideline</w:t>
    </w:r>
    <w:r w:rsidRPr="00DE0FBF">
      <w:t xml:space="preserve"> </w:t>
    </w:r>
    <w:r w:rsidRPr="00DE0FBF">
      <w:rPr>
        <w:rStyle w:val="MCDEMfooteroddcode"/>
        <w:b/>
      </w:rPr>
      <w:t>[DGL 08/16]</w:t>
    </w:r>
    <w:r>
      <w:rPr>
        <w:rStyle w:val="MCDEMfooteroddcode"/>
      </w:rPr>
      <w:tab/>
    </w:r>
    <w:r w:rsidRPr="001D3D08">
      <w:rPr>
        <w:rStyle w:val="MCDEMfooterpagenumber"/>
      </w:rPr>
      <w:fldChar w:fldCharType="begin"/>
    </w:r>
    <w:r w:rsidRPr="001D3D08">
      <w:rPr>
        <w:rStyle w:val="MCDEMfooterpagenumber"/>
      </w:rPr>
      <w:instrText xml:space="preserve"> PAGE   \* MERGEFORMAT </w:instrText>
    </w:r>
    <w:r w:rsidRPr="001D3D08">
      <w:rPr>
        <w:rStyle w:val="MCDEMfooterpagenumber"/>
      </w:rPr>
      <w:fldChar w:fldCharType="separate"/>
    </w:r>
    <w:r w:rsidR="002241BA">
      <w:rPr>
        <w:rStyle w:val="MCDEMfooterpagenumber"/>
        <w:noProof/>
      </w:rPr>
      <w:t>i</w:t>
    </w:r>
    <w:r w:rsidRPr="001D3D08">
      <w:rPr>
        <w:rStyle w:val="MCDEMfooter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989" w:rsidRPr="00E7508E" w:rsidRDefault="00953989" w:rsidP="00613F58">
    <w:pPr>
      <w:tabs>
        <w:tab w:val="left" w:pos="284"/>
        <w:tab w:val="right" w:pos="9498"/>
        <w:tab w:val="right" w:pos="14742"/>
        <w:tab w:val="right" w:pos="15168"/>
      </w:tabs>
    </w:pPr>
    <w:r>
      <w:rPr>
        <w:rStyle w:val="MCDEMfooterpagenumber"/>
      </w:rPr>
      <w:fldChar w:fldCharType="begin"/>
    </w:r>
    <w:r>
      <w:rPr>
        <w:rStyle w:val="MCDEMfooterpagenumber"/>
      </w:rPr>
      <w:instrText xml:space="preserve"> PAGE   \* MERGEFORMAT </w:instrText>
    </w:r>
    <w:r>
      <w:rPr>
        <w:rStyle w:val="MCDEMfooterpagenumber"/>
      </w:rPr>
      <w:fldChar w:fldCharType="separate"/>
    </w:r>
    <w:r w:rsidR="002241BA">
      <w:rPr>
        <w:rStyle w:val="MCDEMfooterpagenumber"/>
        <w:noProof/>
      </w:rPr>
      <w:t>38</w:t>
    </w:r>
    <w:r>
      <w:rPr>
        <w:rStyle w:val="MCDEMfooterpagenumber"/>
      </w:rPr>
      <w:fldChar w:fldCharType="end"/>
    </w:r>
    <w:r>
      <w:rPr>
        <w:rStyle w:val="MCDEMfooterpagenumber"/>
      </w:rPr>
      <w:tab/>
    </w:r>
    <w:r>
      <w:rPr>
        <w:rStyle w:val="MCDEMfooteroddChar"/>
      </w:rPr>
      <w:t>Tsunami Evacuation Zones</w:t>
    </w:r>
    <w:r w:rsidRPr="000E4A15">
      <w:rPr>
        <w:rStyle w:val="MCDEMfooteroddChar"/>
      </w:rPr>
      <w:t xml:space="preserve"> Director’s Guideline</w:t>
    </w:r>
    <w:r w:rsidRPr="00E75957">
      <w:rPr>
        <w:b/>
      </w:rPr>
      <w:t xml:space="preserve"> </w:t>
    </w:r>
    <w:r w:rsidRPr="00E75957">
      <w:rPr>
        <w:rStyle w:val="MCDEMfooteroddcode"/>
        <w:b/>
      </w:rPr>
      <w:t>[DGL 08/16]</w:t>
    </w:r>
    <w:r>
      <w:rPr>
        <w:rStyle w:val="MCDEMfooteroddcode"/>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989" w:rsidRPr="009F6AEB" w:rsidRDefault="00953989" w:rsidP="00304ADD">
    <w:pPr>
      <w:tabs>
        <w:tab w:val="right" w:pos="9214"/>
        <w:tab w:val="right" w:pos="9498"/>
        <w:tab w:val="right" w:pos="14742"/>
        <w:tab w:val="right" w:pos="15168"/>
      </w:tabs>
    </w:pPr>
    <w:r w:rsidRPr="003C687A">
      <w:rPr>
        <w:rStyle w:val="MCDEMfooteroddChar"/>
      </w:rPr>
      <w:tab/>
    </w:r>
    <w:r>
      <w:rPr>
        <w:rStyle w:val="MCDEMfooteroddChar"/>
      </w:rPr>
      <w:t>Tsunami Evacuation Zones</w:t>
    </w:r>
    <w:r w:rsidRPr="000E4A15">
      <w:rPr>
        <w:rStyle w:val="MCDEMfooteroddChar"/>
      </w:rPr>
      <w:t xml:space="preserve"> Director’s Guideline</w:t>
    </w:r>
    <w:r w:rsidRPr="000E4A15">
      <w:t xml:space="preserve"> </w:t>
    </w:r>
    <w:r w:rsidRPr="00E75957">
      <w:rPr>
        <w:rStyle w:val="MCDEMfooteroddcode"/>
        <w:b/>
      </w:rPr>
      <w:t>[DGL 08/16]</w:t>
    </w:r>
    <w:r>
      <w:rPr>
        <w:rStyle w:val="MCDEMfooteroddcode"/>
      </w:rPr>
      <w:tab/>
    </w:r>
    <w:r w:rsidRPr="001D3D08">
      <w:rPr>
        <w:rStyle w:val="MCDEMfooterpagenumber"/>
      </w:rPr>
      <w:fldChar w:fldCharType="begin"/>
    </w:r>
    <w:r w:rsidRPr="001D3D08">
      <w:rPr>
        <w:rStyle w:val="MCDEMfooterpagenumber"/>
      </w:rPr>
      <w:instrText xml:space="preserve"> PAGE   \* MERGEFORMAT </w:instrText>
    </w:r>
    <w:r w:rsidRPr="001D3D08">
      <w:rPr>
        <w:rStyle w:val="MCDEMfooterpagenumber"/>
      </w:rPr>
      <w:fldChar w:fldCharType="separate"/>
    </w:r>
    <w:r w:rsidR="002241BA">
      <w:rPr>
        <w:rStyle w:val="MCDEMfooterpagenumber"/>
        <w:noProof/>
      </w:rPr>
      <w:t>39</w:t>
    </w:r>
    <w:r w:rsidRPr="001D3D08">
      <w:rPr>
        <w:rStyle w:val="MCDEMfooter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989" w:rsidRPr="00734642" w:rsidRDefault="00953989" w:rsidP="00734642">
    <w:pPr>
      <w:tabs>
        <w:tab w:val="right" w:pos="9498"/>
        <w:tab w:val="right" w:pos="14742"/>
        <w:tab w:val="right" w:pos="15168"/>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989" w:rsidRPr="00F56498" w:rsidRDefault="00953989" w:rsidP="00F564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3989" w:rsidRDefault="00953989" w:rsidP="003C4DF1">
      <w:r>
        <w:separator/>
      </w:r>
    </w:p>
    <w:p w:rsidR="00953989" w:rsidRDefault="00953989"/>
  </w:footnote>
  <w:footnote w:type="continuationSeparator" w:id="0">
    <w:p w:rsidR="00953989" w:rsidRDefault="00953989" w:rsidP="003C4DF1">
      <w:r>
        <w:continuationSeparator/>
      </w:r>
    </w:p>
    <w:p w:rsidR="00953989" w:rsidRDefault="00953989"/>
  </w:footnote>
  <w:footnote w:id="1">
    <w:p w:rsidR="00953989" w:rsidRPr="0070014B" w:rsidRDefault="00953989" w:rsidP="00994F31">
      <w:pPr>
        <w:pStyle w:val="FootnoteText"/>
        <w:rPr>
          <w:rFonts w:ascii="Arial" w:hAnsi="Arial" w:cs="Arial"/>
          <w:sz w:val="16"/>
          <w:szCs w:val="16"/>
          <w:lang w:val="en-NZ"/>
        </w:rPr>
      </w:pPr>
      <w:r w:rsidRPr="0070014B">
        <w:rPr>
          <w:rStyle w:val="FootnoteReference"/>
          <w:rFonts w:ascii="Arial" w:hAnsi="Arial" w:cs="Arial"/>
          <w:sz w:val="16"/>
          <w:szCs w:val="16"/>
        </w:rPr>
        <w:footnoteRef/>
      </w:r>
      <w:r w:rsidRPr="0070014B">
        <w:rPr>
          <w:rFonts w:ascii="Arial" w:hAnsi="Arial" w:cs="Arial"/>
          <w:sz w:val="16"/>
          <w:szCs w:val="16"/>
        </w:rPr>
        <w:t xml:space="preserve"> GNS Science reports: ‘Tsunami Hazard and Risk in New Zealand’ (compiled by Berryman, 2005); ‘New Zealand’s Preparedness for Tsunami Hazard’ (compiled by Webb, 2005).</w:t>
      </w:r>
    </w:p>
  </w:footnote>
  <w:footnote w:id="2">
    <w:p w:rsidR="00953989" w:rsidRPr="00366728" w:rsidRDefault="00953989" w:rsidP="00994F31">
      <w:pPr>
        <w:pStyle w:val="FootnoteText"/>
        <w:rPr>
          <w:lang w:val="en-NZ"/>
        </w:rPr>
      </w:pPr>
      <w:r w:rsidRPr="0070014B">
        <w:rPr>
          <w:rStyle w:val="FootnoteReference"/>
          <w:rFonts w:ascii="Arial" w:hAnsi="Arial" w:cs="Arial"/>
          <w:sz w:val="16"/>
          <w:szCs w:val="16"/>
        </w:rPr>
        <w:footnoteRef/>
      </w:r>
      <w:r w:rsidRPr="0070014B">
        <w:rPr>
          <w:rFonts w:ascii="Arial" w:hAnsi="Arial" w:cs="Arial"/>
          <w:sz w:val="16"/>
          <w:szCs w:val="16"/>
        </w:rPr>
        <w:t xml:space="preserve"> </w:t>
      </w:r>
      <w:r w:rsidRPr="0070014B">
        <w:rPr>
          <w:rFonts w:ascii="Arial" w:hAnsi="Arial" w:cs="Arial"/>
          <w:sz w:val="16"/>
          <w:szCs w:val="16"/>
          <w:lang w:val="en-NZ"/>
        </w:rPr>
        <w:t>GNS Science report ‘Review of Tsunami Hazard in New Zealand’ (2013 Update) (compiled by William Power).</w:t>
      </w:r>
    </w:p>
  </w:footnote>
  <w:footnote w:id="3">
    <w:p w:rsidR="00953989" w:rsidRPr="0070014B" w:rsidRDefault="00953989" w:rsidP="002E4A2B">
      <w:pPr>
        <w:pStyle w:val="FootnoteText"/>
        <w:rPr>
          <w:rFonts w:ascii="Arial" w:hAnsi="Arial" w:cs="Arial"/>
          <w:sz w:val="16"/>
          <w:szCs w:val="16"/>
          <w:lang w:val="en-NZ"/>
        </w:rPr>
      </w:pPr>
      <w:r w:rsidRPr="0070014B">
        <w:rPr>
          <w:rStyle w:val="FootnoteReference"/>
          <w:rFonts w:ascii="Arial" w:hAnsi="Arial" w:cs="Arial"/>
          <w:sz w:val="16"/>
          <w:szCs w:val="16"/>
        </w:rPr>
        <w:footnoteRef/>
      </w:r>
      <w:r w:rsidRPr="0070014B">
        <w:rPr>
          <w:rFonts w:ascii="Arial" w:hAnsi="Arial" w:cs="Arial"/>
          <w:sz w:val="16"/>
          <w:szCs w:val="16"/>
        </w:rPr>
        <w:t xml:space="preserve"> Please note that values of Mean High Water Springs are often quoted relative to nautical chart datum or the lowest astronomical tide, and these will need to be adjusted to be relative to Mean Sea Level. Using topographic data defined relative to Mean Sea Level is recommended when defining evacuation zones.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989" w:rsidRDefault="00953989" w:rsidP="00331200">
    <w:pPr>
      <w:pStyle w:val="MCDEMheader"/>
      <w:tabs>
        <w:tab w:val="left" w:pos="288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989" w:rsidRPr="003A4153" w:rsidRDefault="00953989" w:rsidP="003A415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989" w:rsidRDefault="00953989" w:rsidP="00E42618">
    <w:pPr>
      <w:pStyle w:val="MCDEM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A54F9"/>
    <w:multiLevelType w:val="multilevel"/>
    <w:tmpl w:val="88524FF8"/>
    <w:lvl w:ilvl="0">
      <w:start w:val="1"/>
      <w:numFmt w:val="decimal"/>
      <w:pStyle w:val="Heading1"/>
      <w:suff w:val="space"/>
      <w:lvlText w:val="Section %1"/>
      <w:lvlJc w:val="left"/>
      <w:pPr>
        <w:ind w:left="0" w:firstLine="0"/>
      </w:pPr>
      <w:rPr>
        <w:rFonts w:ascii="Arial Narrow" w:hAnsi="Arial Narrow" w:hint="default"/>
        <w:b/>
        <w:i w:val="0"/>
        <w:caps w:val="0"/>
        <w:strike w:val="0"/>
        <w:dstrike w:val="0"/>
        <w:vanish w:val="0"/>
        <w:color w:val="005A9B" w:themeColor="background2"/>
        <w:sz w:val="44"/>
        <w:vertAlign w:val="baseline"/>
      </w:rPr>
    </w:lvl>
    <w:lvl w:ilvl="1">
      <w:start w:val="1"/>
      <w:numFmt w:val="decimal"/>
      <w:pStyle w:val="Heading2"/>
      <w:suff w:val="space"/>
      <w:lvlText w:val="%1.%2"/>
      <w:lvlJc w:val="left"/>
      <w:pPr>
        <w:ind w:left="0" w:firstLine="0"/>
      </w:pPr>
      <w:rPr>
        <w:rFonts w:ascii="Arial Narrow" w:hAnsi="Arial Narrow" w:hint="default"/>
        <w:b/>
        <w:i w:val="0"/>
        <w:caps w:val="0"/>
        <w:strike w:val="0"/>
        <w:dstrike w:val="0"/>
        <w:vanish w:val="0"/>
        <w:color w:val="005A9B" w:themeColor="background2"/>
        <w:sz w:val="32"/>
        <w:vertAlign w:val="baseline"/>
      </w:rPr>
    </w:lvl>
    <w:lvl w:ilvl="2">
      <w:start w:val="1"/>
      <w:numFmt w:val="decimal"/>
      <w:pStyle w:val="Heading3"/>
      <w:suff w:val="space"/>
      <w:lvlText w:val="%1.%2.%3"/>
      <w:lvlJc w:val="left"/>
      <w:pPr>
        <w:ind w:left="0" w:firstLine="0"/>
      </w:pPr>
      <w:rPr>
        <w:rFonts w:ascii="Arial Narrow" w:hAnsi="Arial Narrow" w:hint="default"/>
        <w:b/>
        <w:i w:val="0"/>
        <w:caps w:val="0"/>
        <w:strike w:val="0"/>
        <w:dstrike w:val="0"/>
        <w:vanish w:val="0"/>
        <w:color w:val="005A9B" w:themeColor="background2"/>
        <w:sz w:val="28"/>
        <w:vertAlign w:val="baseline"/>
      </w:rPr>
    </w:lvl>
    <w:lvl w:ilvl="3">
      <w:start w:val="1"/>
      <w:numFmt w:val="none"/>
      <w:pStyle w:val="Heading4"/>
      <w:suff w:val="nothing"/>
      <w:lvlText w:val=""/>
      <w:lvlJc w:val="left"/>
      <w:pPr>
        <w:ind w:left="0" w:firstLine="0"/>
      </w:pPr>
      <w:rPr>
        <w:rFonts w:ascii="Arial Narrow" w:hAnsi="Arial Narrow" w:hint="default"/>
        <w:b/>
        <w:i/>
        <w:caps w:val="0"/>
        <w:strike w:val="0"/>
        <w:dstrike w:val="0"/>
        <w:vanish w:val="0"/>
        <w:color w:val="005A9B" w:themeColor="background2"/>
        <w:sz w:val="24"/>
        <w:vertAlign w:val="baseline"/>
      </w:rPr>
    </w:lvl>
    <w:lvl w:ilvl="4">
      <w:start w:val="1"/>
      <w:numFmt w:val="none"/>
      <w:lvlText w:val=""/>
      <w:lvlJc w:val="left"/>
      <w:pPr>
        <w:ind w:left="0" w:firstLine="0"/>
      </w:pPr>
      <w:rPr>
        <w:rFonts w:hint="default"/>
      </w:rPr>
    </w:lvl>
    <w:lvl w:ilvl="5">
      <w:start w:val="1"/>
      <w:numFmt w:val="upperLetter"/>
      <w:lvlRestart w:val="0"/>
      <w:pStyle w:val="Heading6"/>
      <w:suff w:val="space"/>
      <w:lvlText w:val="Appendix %6"/>
      <w:lvlJc w:val="left"/>
      <w:pPr>
        <w:ind w:left="0" w:firstLine="0"/>
      </w:pPr>
      <w:rPr>
        <w:rFonts w:ascii="Arial Narrow" w:hAnsi="Arial Narrow" w:hint="default"/>
        <w:b/>
        <w:i w:val="0"/>
        <w:caps w:val="0"/>
        <w:strike w:val="0"/>
        <w:dstrike w:val="0"/>
        <w:vanish w:val="0"/>
        <w:color w:val="005A9B" w:themeColor="background2"/>
        <w:sz w:val="36"/>
        <w:vertAlign w:val="baseline"/>
      </w:rPr>
    </w:lvl>
    <w:lvl w:ilvl="6">
      <w:start w:val="1"/>
      <w:numFmt w:val="decimal"/>
      <w:pStyle w:val="Heading7"/>
      <w:suff w:val="space"/>
      <w:lvlText w:val="%6.%7"/>
      <w:lvlJc w:val="left"/>
      <w:pPr>
        <w:ind w:left="0" w:firstLine="0"/>
      </w:pPr>
      <w:rPr>
        <w:rFonts w:ascii="Arial Narrow" w:hAnsi="Arial Narrow" w:hint="default"/>
        <w:b/>
        <w:i w:val="0"/>
        <w:caps w:val="0"/>
        <w:strike w:val="0"/>
        <w:dstrike w:val="0"/>
        <w:vanish w:val="0"/>
        <w:color w:val="005A9B" w:themeColor="background2"/>
        <w:sz w:val="32"/>
        <w:vertAlign w:val="baseline"/>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nsid w:val="07DA7170"/>
    <w:multiLevelType w:val="hybridMultilevel"/>
    <w:tmpl w:val="6D48E618"/>
    <w:lvl w:ilvl="0" w:tplc="368E5696">
      <w:start w:val="1"/>
      <w:numFmt w:val="decimal"/>
      <w:pStyle w:val="Legalsectio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09117C74"/>
    <w:multiLevelType w:val="hybridMultilevel"/>
    <w:tmpl w:val="E72C3622"/>
    <w:lvl w:ilvl="0" w:tplc="BDA88FE6">
      <w:start w:val="1"/>
      <w:numFmt w:val="decimal"/>
      <w:pStyle w:val="Tablenumbering"/>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pStyle w:val="Heading8"/>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nsid w:val="0A922851"/>
    <w:multiLevelType w:val="hybridMultilevel"/>
    <w:tmpl w:val="D27200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105132FB"/>
    <w:multiLevelType w:val="multilevel"/>
    <w:tmpl w:val="5E78B042"/>
    <w:lvl w:ilvl="0">
      <w:start w:val="1"/>
      <w:numFmt w:val="decimal"/>
      <w:pStyle w:val="Numbering"/>
      <w:lvlText w:val="%1."/>
      <w:lvlJc w:val="left"/>
      <w:pPr>
        <w:ind w:left="720" w:hanging="363"/>
      </w:pPr>
      <w:rPr>
        <w:rFonts w:hint="default"/>
      </w:rPr>
    </w:lvl>
    <w:lvl w:ilvl="1">
      <w:start w:val="1"/>
      <w:numFmt w:val="lowerLetter"/>
      <w:lvlText w:val="%2."/>
      <w:lvlJc w:val="left"/>
      <w:pPr>
        <w:ind w:left="1077" w:hanging="363"/>
      </w:pPr>
      <w:rPr>
        <w:rFonts w:hint="default"/>
      </w:rPr>
    </w:lvl>
    <w:lvl w:ilvl="2">
      <w:start w:val="1"/>
      <w:numFmt w:val="lowerRoman"/>
      <w:lvlText w:val="%3."/>
      <w:lvlJc w:val="right"/>
      <w:pPr>
        <w:ind w:left="1434" w:hanging="363"/>
      </w:pPr>
      <w:rPr>
        <w:rFonts w:hint="default"/>
      </w:rPr>
    </w:lvl>
    <w:lvl w:ilvl="3">
      <w:start w:val="1"/>
      <w:numFmt w:val="decimal"/>
      <w:lvlText w:val="%4."/>
      <w:lvlJc w:val="left"/>
      <w:pPr>
        <w:ind w:left="1791" w:hanging="363"/>
      </w:pPr>
      <w:rPr>
        <w:rFonts w:hint="default"/>
      </w:rPr>
    </w:lvl>
    <w:lvl w:ilvl="4">
      <w:start w:val="1"/>
      <w:numFmt w:val="lowerLetter"/>
      <w:lvlText w:val="%5."/>
      <w:lvlJc w:val="left"/>
      <w:pPr>
        <w:ind w:left="2148" w:hanging="363"/>
      </w:pPr>
      <w:rPr>
        <w:rFonts w:hint="default"/>
      </w:rPr>
    </w:lvl>
    <w:lvl w:ilvl="5">
      <w:start w:val="1"/>
      <w:numFmt w:val="lowerRoman"/>
      <w:lvlText w:val="%6."/>
      <w:lvlJc w:val="right"/>
      <w:pPr>
        <w:ind w:left="2505" w:hanging="363"/>
      </w:pPr>
      <w:rPr>
        <w:rFonts w:hint="default"/>
      </w:rPr>
    </w:lvl>
    <w:lvl w:ilvl="6">
      <w:start w:val="1"/>
      <w:numFmt w:val="decimal"/>
      <w:lvlText w:val="%7."/>
      <w:lvlJc w:val="left"/>
      <w:pPr>
        <w:ind w:left="2862" w:hanging="363"/>
      </w:pPr>
      <w:rPr>
        <w:rFonts w:hint="default"/>
      </w:rPr>
    </w:lvl>
    <w:lvl w:ilvl="7">
      <w:start w:val="1"/>
      <w:numFmt w:val="lowerLetter"/>
      <w:lvlText w:val="%8."/>
      <w:lvlJc w:val="left"/>
      <w:pPr>
        <w:ind w:left="3219" w:hanging="363"/>
      </w:pPr>
      <w:rPr>
        <w:rFonts w:hint="default"/>
      </w:rPr>
    </w:lvl>
    <w:lvl w:ilvl="8">
      <w:start w:val="1"/>
      <w:numFmt w:val="lowerRoman"/>
      <w:lvlText w:val="%9."/>
      <w:lvlJc w:val="right"/>
      <w:pPr>
        <w:ind w:left="3576" w:hanging="363"/>
      </w:pPr>
      <w:rPr>
        <w:rFonts w:hint="default"/>
      </w:rPr>
    </w:lvl>
  </w:abstractNum>
  <w:abstractNum w:abstractNumId="5">
    <w:nsid w:val="1B7B6B6C"/>
    <w:multiLevelType w:val="multilevel"/>
    <w:tmpl w:val="3CB8ED48"/>
    <w:lvl w:ilvl="0">
      <w:start w:val="1"/>
      <w:numFmt w:val="bullet"/>
      <w:pStyle w:val="Tablebullet"/>
      <w:lvlText w:val=""/>
      <w:lvlJc w:val="left"/>
      <w:pPr>
        <w:ind w:left="357" w:hanging="357"/>
      </w:pPr>
      <w:rPr>
        <w:rFonts w:ascii="Symbol" w:hAnsi="Symbol" w:hint="default"/>
        <w:sz w:val="16"/>
      </w:rPr>
    </w:lvl>
    <w:lvl w:ilvl="1">
      <w:start w:val="1"/>
      <w:numFmt w:val="bullet"/>
      <w:lvlText w:val="○"/>
      <w:lvlJc w:val="left"/>
      <w:pPr>
        <w:ind w:left="714" w:hanging="357"/>
      </w:pPr>
      <w:rPr>
        <w:rFonts w:ascii="Arial" w:hAnsi="Arial" w:hint="default"/>
        <w:sz w:val="16"/>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6">
    <w:nsid w:val="1C564814"/>
    <w:multiLevelType w:val="multilevel"/>
    <w:tmpl w:val="3F4EF734"/>
    <w:name w:val="WW8Num91b"/>
    <w:lvl w:ilvl="0">
      <w:start w:val="1"/>
      <w:numFmt w:val="decimal"/>
      <w:pStyle w:val="Client1"/>
      <w:lvlText w:val="%1.0"/>
      <w:lvlJc w:val="left"/>
      <w:pPr>
        <w:tabs>
          <w:tab w:val="num" w:pos="1134"/>
        </w:tabs>
        <w:ind w:left="1134" w:hanging="1134"/>
      </w:pPr>
      <w:rPr>
        <w:rFonts w:hint="default"/>
      </w:rPr>
    </w:lvl>
    <w:lvl w:ilvl="1">
      <w:start w:val="1"/>
      <w:numFmt w:val="decimal"/>
      <w:pStyle w:val="Client2"/>
      <w:lvlText w:val="%1.%2"/>
      <w:lvlJc w:val="left"/>
      <w:pPr>
        <w:tabs>
          <w:tab w:val="num" w:pos="1134"/>
        </w:tabs>
        <w:ind w:left="1134" w:hanging="1134"/>
      </w:pPr>
      <w:rPr>
        <w:rFonts w:hint="default"/>
      </w:rPr>
    </w:lvl>
    <w:lvl w:ilvl="2">
      <w:start w:val="1"/>
      <w:numFmt w:val="decimal"/>
      <w:pStyle w:val="Client3"/>
      <w:lvlText w:val="%1.%2.%3"/>
      <w:lvlJc w:val="left"/>
      <w:pPr>
        <w:tabs>
          <w:tab w:val="num" w:pos="1134"/>
        </w:tabs>
        <w:ind w:left="1134" w:hanging="1134"/>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7.%8"/>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7">
    <w:nsid w:val="1D1B551F"/>
    <w:multiLevelType w:val="hybridMultilevel"/>
    <w:tmpl w:val="9C389924"/>
    <w:lvl w:ilvl="0" w:tplc="1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nsid w:val="283F3EAF"/>
    <w:multiLevelType w:val="multilevel"/>
    <w:tmpl w:val="AB4642F0"/>
    <w:lvl w:ilvl="0">
      <w:start w:val="1"/>
      <w:numFmt w:val="decimal"/>
      <w:pStyle w:val="Legalbulle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29B5463C"/>
    <w:multiLevelType w:val="hybridMultilevel"/>
    <w:tmpl w:val="60C4DACA"/>
    <w:lvl w:ilvl="0" w:tplc="EF66BAAC">
      <w:start w:val="1"/>
      <w:numFmt w:val="decimal"/>
      <w:pStyle w:val="Figure"/>
      <w:lvlText w:val="Figure %1"/>
      <w:lvlJc w:val="left"/>
      <w:pPr>
        <w:tabs>
          <w:tab w:val="num" w:pos="1134"/>
        </w:tabs>
        <w:ind w:left="1134" w:hanging="1134"/>
      </w:pPr>
      <w:rPr>
        <w:rFonts w:hint="default"/>
        <w:b/>
        <w:i w:val="0"/>
      </w:rPr>
    </w:lvl>
    <w:lvl w:ilvl="1" w:tplc="EB6C0CA8">
      <w:start w:val="1"/>
      <w:numFmt w:val="bullet"/>
      <w:lvlText w:val=""/>
      <w:lvlJc w:val="left"/>
      <w:pPr>
        <w:tabs>
          <w:tab w:val="num" w:pos="1440"/>
        </w:tabs>
        <w:ind w:left="1440" w:hanging="360"/>
      </w:pPr>
      <w:rPr>
        <w:rFonts w:ascii="Symbol" w:hAnsi="Symbol" w:hint="default"/>
        <w:b/>
        <w:i w:val="0"/>
        <w:sz w:val="16"/>
        <w:szCs w:val="16"/>
      </w:r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0">
    <w:nsid w:val="2A4B4431"/>
    <w:multiLevelType w:val="hybridMultilevel"/>
    <w:tmpl w:val="A984DF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2A8D2B7C"/>
    <w:multiLevelType w:val="hybridMultilevel"/>
    <w:tmpl w:val="C79AF5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2E70451E"/>
    <w:multiLevelType w:val="hybridMultilevel"/>
    <w:tmpl w:val="872892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2E7B63C8"/>
    <w:multiLevelType w:val="multilevel"/>
    <w:tmpl w:val="A79ED950"/>
    <w:lvl w:ilvl="0">
      <w:start w:val="1"/>
      <w:numFmt w:val="bullet"/>
      <w:pStyle w:val="Bullet"/>
      <w:lvlText w:val="●"/>
      <w:lvlJc w:val="left"/>
      <w:pPr>
        <w:ind w:left="720" w:hanging="363"/>
      </w:pPr>
      <w:rPr>
        <w:rFonts w:ascii="Arial" w:hAnsi="Arial" w:hint="default"/>
        <w:color w:val="auto"/>
        <w:sz w:val="16"/>
        <w:szCs w:val="16"/>
      </w:rPr>
    </w:lvl>
    <w:lvl w:ilvl="1">
      <w:start w:val="1"/>
      <w:numFmt w:val="bullet"/>
      <w:lvlText w:val="○"/>
      <w:lvlJc w:val="left"/>
      <w:pPr>
        <w:ind w:left="1077" w:hanging="363"/>
      </w:pPr>
      <w:rPr>
        <w:rFonts w:ascii="Arial" w:hAnsi="Arial" w:hint="default"/>
        <w:sz w:val="16"/>
        <w:szCs w:val="16"/>
      </w:rPr>
    </w:lvl>
    <w:lvl w:ilvl="2">
      <w:start w:val="1"/>
      <w:numFmt w:val="bullet"/>
      <w:lvlText w:val=""/>
      <w:lvlJc w:val="left"/>
      <w:pPr>
        <w:ind w:left="1434" w:hanging="363"/>
      </w:pPr>
      <w:rPr>
        <w:rFonts w:ascii="Wingdings" w:hAnsi="Wingdings" w:hint="default"/>
      </w:rPr>
    </w:lvl>
    <w:lvl w:ilvl="3">
      <w:start w:val="1"/>
      <w:numFmt w:val="bullet"/>
      <w:lvlText w:val=""/>
      <w:lvlJc w:val="left"/>
      <w:pPr>
        <w:ind w:left="1791" w:hanging="363"/>
      </w:pPr>
      <w:rPr>
        <w:rFonts w:ascii="Symbol" w:hAnsi="Symbol" w:hint="default"/>
      </w:rPr>
    </w:lvl>
    <w:lvl w:ilvl="4">
      <w:start w:val="1"/>
      <w:numFmt w:val="bullet"/>
      <w:lvlText w:val="o"/>
      <w:lvlJc w:val="left"/>
      <w:pPr>
        <w:ind w:left="2148" w:hanging="363"/>
      </w:pPr>
      <w:rPr>
        <w:rFonts w:ascii="Courier New" w:hAnsi="Courier New" w:cs="Courier New" w:hint="default"/>
      </w:rPr>
    </w:lvl>
    <w:lvl w:ilvl="5">
      <w:start w:val="1"/>
      <w:numFmt w:val="bullet"/>
      <w:lvlText w:val=""/>
      <w:lvlJc w:val="left"/>
      <w:pPr>
        <w:ind w:left="2505" w:hanging="363"/>
      </w:pPr>
      <w:rPr>
        <w:rFonts w:ascii="Wingdings" w:hAnsi="Wingdings" w:hint="default"/>
      </w:rPr>
    </w:lvl>
    <w:lvl w:ilvl="6">
      <w:start w:val="1"/>
      <w:numFmt w:val="bullet"/>
      <w:lvlText w:val=""/>
      <w:lvlJc w:val="left"/>
      <w:pPr>
        <w:ind w:left="2862" w:hanging="363"/>
      </w:pPr>
      <w:rPr>
        <w:rFonts w:ascii="Symbol" w:hAnsi="Symbol" w:hint="default"/>
      </w:rPr>
    </w:lvl>
    <w:lvl w:ilvl="7">
      <w:start w:val="1"/>
      <w:numFmt w:val="bullet"/>
      <w:lvlText w:val="o"/>
      <w:lvlJc w:val="left"/>
      <w:pPr>
        <w:ind w:left="3219" w:hanging="363"/>
      </w:pPr>
      <w:rPr>
        <w:rFonts w:ascii="Courier New" w:hAnsi="Courier New" w:cs="Courier New" w:hint="default"/>
      </w:rPr>
    </w:lvl>
    <w:lvl w:ilvl="8">
      <w:start w:val="1"/>
      <w:numFmt w:val="bullet"/>
      <w:lvlText w:val=""/>
      <w:lvlJc w:val="left"/>
      <w:pPr>
        <w:ind w:left="3576" w:hanging="363"/>
      </w:pPr>
      <w:rPr>
        <w:rFonts w:ascii="Wingdings" w:hAnsi="Wingdings" w:hint="default"/>
      </w:rPr>
    </w:lvl>
  </w:abstractNum>
  <w:abstractNum w:abstractNumId="14">
    <w:nsid w:val="2FDE17FA"/>
    <w:multiLevelType w:val="hybridMultilevel"/>
    <w:tmpl w:val="143A6B84"/>
    <w:lvl w:ilvl="0" w:tplc="702604EE">
      <w:start w:val="1"/>
      <w:numFmt w:val="lowerLetter"/>
      <w:lvlText w:val="(%1)"/>
      <w:lvlJc w:val="left"/>
      <w:pPr>
        <w:ind w:left="720" w:hanging="360"/>
      </w:pPr>
      <w:rPr>
        <w:rFonts w:cs="Times New Roman"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5">
    <w:nsid w:val="31986184"/>
    <w:multiLevelType w:val="hybridMultilevel"/>
    <w:tmpl w:val="904A0C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37D7036F"/>
    <w:multiLevelType w:val="hybridMultilevel"/>
    <w:tmpl w:val="CCCC36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3B0150EE"/>
    <w:multiLevelType w:val="hybridMultilevel"/>
    <w:tmpl w:val="97D8DEC8"/>
    <w:lvl w:ilvl="0" w:tplc="F806AD66">
      <w:start w:val="4"/>
      <w:numFmt w:val="decimal"/>
      <w:pStyle w:val="Legalnumberingsection"/>
      <w:lvlText w:val="%1"/>
      <w:lvlJc w:val="left"/>
      <w:pPr>
        <w:ind w:left="360" w:hanging="360"/>
      </w:pPr>
      <w:rPr>
        <w:rFonts w:cs="Times New Roman" w:hint="default"/>
      </w:rPr>
    </w:lvl>
    <w:lvl w:ilvl="1" w:tplc="14090019" w:tentative="1">
      <w:start w:val="1"/>
      <w:numFmt w:val="lowerLetter"/>
      <w:lvlText w:val="%2."/>
      <w:lvlJc w:val="left"/>
      <w:pPr>
        <w:ind w:left="1080" w:hanging="360"/>
      </w:pPr>
      <w:rPr>
        <w:rFonts w:cs="Times New Roman"/>
      </w:rPr>
    </w:lvl>
    <w:lvl w:ilvl="2" w:tplc="1409001B" w:tentative="1">
      <w:start w:val="1"/>
      <w:numFmt w:val="lowerRoman"/>
      <w:lvlText w:val="%3."/>
      <w:lvlJc w:val="right"/>
      <w:pPr>
        <w:ind w:left="1800" w:hanging="180"/>
      </w:pPr>
      <w:rPr>
        <w:rFonts w:cs="Times New Roman"/>
      </w:rPr>
    </w:lvl>
    <w:lvl w:ilvl="3" w:tplc="1409000F">
      <w:start w:val="1"/>
      <w:numFmt w:val="decimal"/>
      <w:lvlText w:val="%4."/>
      <w:lvlJc w:val="left"/>
      <w:pPr>
        <w:ind w:left="2520" w:hanging="360"/>
      </w:pPr>
      <w:rPr>
        <w:rFonts w:cs="Times New Roman"/>
      </w:rPr>
    </w:lvl>
    <w:lvl w:ilvl="4" w:tplc="14090019" w:tentative="1">
      <w:start w:val="1"/>
      <w:numFmt w:val="lowerLetter"/>
      <w:lvlText w:val="%5."/>
      <w:lvlJc w:val="left"/>
      <w:pPr>
        <w:ind w:left="3240" w:hanging="360"/>
      </w:pPr>
      <w:rPr>
        <w:rFonts w:cs="Times New Roman"/>
      </w:rPr>
    </w:lvl>
    <w:lvl w:ilvl="5" w:tplc="1409001B" w:tentative="1">
      <w:start w:val="1"/>
      <w:numFmt w:val="lowerRoman"/>
      <w:lvlText w:val="%6."/>
      <w:lvlJc w:val="right"/>
      <w:pPr>
        <w:ind w:left="3960" w:hanging="180"/>
      </w:pPr>
      <w:rPr>
        <w:rFonts w:cs="Times New Roman"/>
      </w:rPr>
    </w:lvl>
    <w:lvl w:ilvl="6" w:tplc="1409000F">
      <w:start w:val="1"/>
      <w:numFmt w:val="decimal"/>
      <w:lvlText w:val="%7."/>
      <w:lvlJc w:val="left"/>
      <w:pPr>
        <w:ind w:left="4680" w:hanging="360"/>
      </w:pPr>
      <w:rPr>
        <w:rFonts w:cs="Times New Roman"/>
      </w:rPr>
    </w:lvl>
    <w:lvl w:ilvl="7" w:tplc="14090019" w:tentative="1">
      <w:start w:val="1"/>
      <w:numFmt w:val="lowerLetter"/>
      <w:lvlText w:val="%8."/>
      <w:lvlJc w:val="left"/>
      <w:pPr>
        <w:ind w:left="5400" w:hanging="360"/>
      </w:pPr>
      <w:rPr>
        <w:rFonts w:cs="Times New Roman"/>
      </w:rPr>
    </w:lvl>
    <w:lvl w:ilvl="8" w:tplc="1409001B" w:tentative="1">
      <w:start w:val="1"/>
      <w:numFmt w:val="lowerRoman"/>
      <w:lvlText w:val="%9."/>
      <w:lvlJc w:val="right"/>
      <w:pPr>
        <w:ind w:left="6120" w:hanging="180"/>
      </w:pPr>
      <w:rPr>
        <w:rFonts w:cs="Times New Roman"/>
      </w:rPr>
    </w:lvl>
  </w:abstractNum>
  <w:abstractNum w:abstractNumId="18">
    <w:nsid w:val="3CB119D2"/>
    <w:multiLevelType w:val="hybridMultilevel"/>
    <w:tmpl w:val="3D24E87E"/>
    <w:lvl w:ilvl="0" w:tplc="1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nsid w:val="3D0934AD"/>
    <w:multiLevelType w:val="hybridMultilevel"/>
    <w:tmpl w:val="096E02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3DCC0439"/>
    <w:multiLevelType w:val="multilevel"/>
    <w:tmpl w:val="EBFEF5A6"/>
    <w:lvl w:ilvl="0">
      <w:start w:val="1"/>
      <w:numFmt w:val="decimal"/>
      <w:pStyle w:val="Legalnumbering"/>
      <w:isLg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3EB26BC0"/>
    <w:multiLevelType w:val="hybridMultilevel"/>
    <w:tmpl w:val="E5605B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43217C7C"/>
    <w:multiLevelType w:val="hybridMultilevel"/>
    <w:tmpl w:val="069CCE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4F25103F"/>
    <w:multiLevelType w:val="hybridMultilevel"/>
    <w:tmpl w:val="C9CC44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513070C7"/>
    <w:multiLevelType w:val="hybridMultilevel"/>
    <w:tmpl w:val="87FC52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520D09C2"/>
    <w:multiLevelType w:val="hybridMultilevel"/>
    <w:tmpl w:val="359E51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54201543"/>
    <w:multiLevelType w:val="hybridMultilevel"/>
    <w:tmpl w:val="AFB64A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559E5C09"/>
    <w:multiLevelType w:val="hybridMultilevel"/>
    <w:tmpl w:val="4D8A00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58253A34"/>
    <w:multiLevelType w:val="hybridMultilevel"/>
    <w:tmpl w:val="20B2AD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5A0836BE"/>
    <w:multiLevelType w:val="hybridMultilevel"/>
    <w:tmpl w:val="B2609AB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nsid w:val="5A400236"/>
    <w:multiLevelType w:val="hybridMultilevel"/>
    <w:tmpl w:val="E3909C7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nsid w:val="5B7134CB"/>
    <w:multiLevelType w:val="hybridMultilevel"/>
    <w:tmpl w:val="BAA291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5CAB4661"/>
    <w:multiLevelType w:val="hybridMultilevel"/>
    <w:tmpl w:val="7A7A36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5E424A99"/>
    <w:multiLevelType w:val="hybridMultilevel"/>
    <w:tmpl w:val="438227D6"/>
    <w:lvl w:ilvl="0" w:tplc="C7D263CC">
      <w:start w:val="1"/>
      <w:numFmt w:val="bullet"/>
      <w:pStyle w:val="Redtextbulle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60403F67"/>
    <w:multiLevelType w:val="hybridMultilevel"/>
    <w:tmpl w:val="46BABA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631A39E9"/>
    <w:multiLevelType w:val="hybridMultilevel"/>
    <w:tmpl w:val="B09C05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681E1361"/>
    <w:multiLevelType w:val="hybridMultilevel"/>
    <w:tmpl w:val="2804AC00"/>
    <w:lvl w:ilvl="0" w:tplc="1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nsid w:val="723518BA"/>
    <w:multiLevelType w:val="hybridMultilevel"/>
    <w:tmpl w:val="A93281E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nsid w:val="74912F04"/>
    <w:multiLevelType w:val="hybridMultilevel"/>
    <w:tmpl w:val="84564D9C"/>
    <w:lvl w:ilvl="0" w:tplc="14090001">
      <w:start w:val="1"/>
      <w:numFmt w:val="bullet"/>
      <w:lvlText w:val=""/>
      <w:lvlJc w:val="left"/>
      <w:pPr>
        <w:ind w:left="720" w:hanging="360"/>
      </w:pPr>
      <w:rPr>
        <w:rFonts w:ascii="Symbol" w:hAnsi="Symbol" w:hint="default"/>
      </w:rPr>
    </w:lvl>
    <w:lvl w:ilvl="1" w:tplc="C9149D0A">
      <w:start w:val="1"/>
      <w:numFmt w:val="bullet"/>
      <w:pStyle w:val="Greytextdouble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nsid w:val="7A235156"/>
    <w:multiLevelType w:val="hybridMultilevel"/>
    <w:tmpl w:val="335CD5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nsid w:val="7E0C5FA8"/>
    <w:multiLevelType w:val="hybridMultilevel"/>
    <w:tmpl w:val="EBC47776"/>
    <w:lvl w:ilvl="0" w:tplc="912CEE42">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2"/>
  </w:num>
  <w:num w:numId="2">
    <w:abstractNumId w:val="33"/>
  </w:num>
  <w:num w:numId="3">
    <w:abstractNumId w:val="38"/>
  </w:num>
  <w:num w:numId="4">
    <w:abstractNumId w:val="0"/>
  </w:num>
  <w:num w:numId="5">
    <w:abstractNumId w:val="5"/>
  </w:num>
  <w:num w:numId="6">
    <w:abstractNumId w:val="8"/>
  </w:num>
  <w:num w:numId="7">
    <w:abstractNumId w:val="4"/>
  </w:num>
  <w:num w:numId="8">
    <w:abstractNumId w:val="1"/>
  </w:num>
  <w:num w:numId="9">
    <w:abstractNumId w:val="20"/>
  </w:num>
  <w:num w:numId="10">
    <w:abstractNumId w:val="17"/>
  </w:num>
  <w:num w:numId="11">
    <w:abstractNumId w:val="13"/>
  </w:num>
  <w:num w:numId="12">
    <w:abstractNumId w:val="6"/>
  </w:num>
  <w:num w:numId="13">
    <w:abstractNumId w:val="37"/>
  </w:num>
  <w:num w:numId="14">
    <w:abstractNumId w:val="31"/>
  </w:num>
  <w:num w:numId="15">
    <w:abstractNumId w:val="22"/>
  </w:num>
  <w:num w:numId="16">
    <w:abstractNumId w:val="27"/>
  </w:num>
  <w:num w:numId="17">
    <w:abstractNumId w:val="35"/>
  </w:num>
  <w:num w:numId="18">
    <w:abstractNumId w:val="30"/>
  </w:num>
  <w:num w:numId="19">
    <w:abstractNumId w:val="39"/>
  </w:num>
  <w:num w:numId="20">
    <w:abstractNumId w:val="21"/>
  </w:num>
  <w:num w:numId="21">
    <w:abstractNumId w:val="7"/>
  </w:num>
  <w:num w:numId="22">
    <w:abstractNumId w:val="18"/>
  </w:num>
  <w:num w:numId="23">
    <w:abstractNumId w:val="19"/>
  </w:num>
  <w:num w:numId="24">
    <w:abstractNumId w:val="28"/>
  </w:num>
  <w:num w:numId="25">
    <w:abstractNumId w:val="36"/>
  </w:num>
  <w:num w:numId="26">
    <w:abstractNumId w:val="26"/>
  </w:num>
  <w:num w:numId="27">
    <w:abstractNumId w:val="10"/>
  </w:num>
  <w:num w:numId="28">
    <w:abstractNumId w:val="24"/>
  </w:num>
  <w:num w:numId="29">
    <w:abstractNumId w:val="34"/>
  </w:num>
  <w:num w:numId="30">
    <w:abstractNumId w:val="40"/>
  </w:num>
  <w:num w:numId="31">
    <w:abstractNumId w:val="16"/>
  </w:num>
  <w:num w:numId="32">
    <w:abstractNumId w:val="11"/>
  </w:num>
  <w:num w:numId="33">
    <w:abstractNumId w:val="3"/>
  </w:num>
  <w:num w:numId="34">
    <w:abstractNumId w:val="15"/>
  </w:num>
  <w:num w:numId="35">
    <w:abstractNumId w:val="12"/>
  </w:num>
  <w:num w:numId="36">
    <w:abstractNumId w:val="32"/>
  </w:num>
  <w:num w:numId="37">
    <w:abstractNumId w:val="9"/>
  </w:num>
  <w:num w:numId="38">
    <w:abstractNumId w:val="29"/>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lvlOverride w:ilvl="0">
      <w:startOverride w:val="4"/>
    </w:lvlOverride>
  </w:num>
  <w:num w:numId="41">
    <w:abstractNumId w:val="14"/>
  </w:num>
  <w:num w:numId="42">
    <w:abstractNumId w:val="23"/>
  </w:num>
  <w:num w:numId="43">
    <w:abstractNumId w:val="25"/>
  </w:num>
  <w:num w:numId="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mirrorMargins/>
  <w:proofState w:spelling="clean" w:grammar="clean"/>
  <w:attachedTemplate r:id="rId1"/>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stylePaneSortMethod w:val="0000"/>
  <w:documentProtection w:edit="readOnly" w:enforcement="1" w:cryptProviderType="rsaFull" w:cryptAlgorithmClass="hash" w:cryptAlgorithmType="typeAny" w:cryptAlgorithmSid="4" w:cryptSpinCount="100000" w:hash="FXhkMTTpXK3/El+MXxU18PlkBI0=" w:salt="xY3CKrfhXFRAVer1XjqTGA=="/>
  <w:defaultTabStop w:val="720"/>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4F31"/>
    <w:rsid w:val="0000073A"/>
    <w:rsid w:val="0000143C"/>
    <w:rsid w:val="00001C5C"/>
    <w:rsid w:val="00002924"/>
    <w:rsid w:val="00002977"/>
    <w:rsid w:val="00002BDA"/>
    <w:rsid w:val="000039D0"/>
    <w:rsid w:val="0000451B"/>
    <w:rsid w:val="00004F0A"/>
    <w:rsid w:val="00005E8F"/>
    <w:rsid w:val="00006122"/>
    <w:rsid w:val="000064C0"/>
    <w:rsid w:val="000078F8"/>
    <w:rsid w:val="0001166D"/>
    <w:rsid w:val="00014FE2"/>
    <w:rsid w:val="00015AC2"/>
    <w:rsid w:val="00015CEE"/>
    <w:rsid w:val="0001642A"/>
    <w:rsid w:val="00016BA7"/>
    <w:rsid w:val="000171A1"/>
    <w:rsid w:val="0002052C"/>
    <w:rsid w:val="0002207A"/>
    <w:rsid w:val="00022C76"/>
    <w:rsid w:val="000233A1"/>
    <w:rsid w:val="00023C6A"/>
    <w:rsid w:val="00023E85"/>
    <w:rsid w:val="00024A82"/>
    <w:rsid w:val="00025079"/>
    <w:rsid w:val="000252FB"/>
    <w:rsid w:val="000257E7"/>
    <w:rsid w:val="000258D5"/>
    <w:rsid w:val="00026C4D"/>
    <w:rsid w:val="00027BE5"/>
    <w:rsid w:val="0003463B"/>
    <w:rsid w:val="00034B53"/>
    <w:rsid w:val="000356F8"/>
    <w:rsid w:val="000365CC"/>
    <w:rsid w:val="0004153D"/>
    <w:rsid w:val="00041AFA"/>
    <w:rsid w:val="00042AF5"/>
    <w:rsid w:val="00043E4D"/>
    <w:rsid w:val="00044DD9"/>
    <w:rsid w:val="00044FFF"/>
    <w:rsid w:val="00045E0F"/>
    <w:rsid w:val="00046744"/>
    <w:rsid w:val="00047202"/>
    <w:rsid w:val="00050BA5"/>
    <w:rsid w:val="00050CC3"/>
    <w:rsid w:val="000517E6"/>
    <w:rsid w:val="0005416B"/>
    <w:rsid w:val="00054B4F"/>
    <w:rsid w:val="0005535E"/>
    <w:rsid w:val="0005562B"/>
    <w:rsid w:val="00055C6C"/>
    <w:rsid w:val="00056724"/>
    <w:rsid w:val="00063248"/>
    <w:rsid w:val="0006499A"/>
    <w:rsid w:val="000650D6"/>
    <w:rsid w:val="00065C2F"/>
    <w:rsid w:val="00066487"/>
    <w:rsid w:val="0006694A"/>
    <w:rsid w:val="00066BD6"/>
    <w:rsid w:val="00066DA8"/>
    <w:rsid w:val="0006783B"/>
    <w:rsid w:val="0007316A"/>
    <w:rsid w:val="00074F3E"/>
    <w:rsid w:val="00075868"/>
    <w:rsid w:val="00076781"/>
    <w:rsid w:val="00077794"/>
    <w:rsid w:val="000777F8"/>
    <w:rsid w:val="00077C02"/>
    <w:rsid w:val="00077E31"/>
    <w:rsid w:val="000806B1"/>
    <w:rsid w:val="00080E27"/>
    <w:rsid w:val="00081A15"/>
    <w:rsid w:val="00082783"/>
    <w:rsid w:val="00083507"/>
    <w:rsid w:val="0008453B"/>
    <w:rsid w:val="00085149"/>
    <w:rsid w:val="000851D9"/>
    <w:rsid w:val="00086309"/>
    <w:rsid w:val="00086553"/>
    <w:rsid w:val="000871F8"/>
    <w:rsid w:val="00087535"/>
    <w:rsid w:val="0009023C"/>
    <w:rsid w:val="000903B4"/>
    <w:rsid w:val="000903F0"/>
    <w:rsid w:val="0009060D"/>
    <w:rsid w:val="00093DAE"/>
    <w:rsid w:val="00094988"/>
    <w:rsid w:val="00096177"/>
    <w:rsid w:val="0009676A"/>
    <w:rsid w:val="000A0AD0"/>
    <w:rsid w:val="000A0F1B"/>
    <w:rsid w:val="000A156C"/>
    <w:rsid w:val="000A23A4"/>
    <w:rsid w:val="000A3822"/>
    <w:rsid w:val="000A385E"/>
    <w:rsid w:val="000A3ACA"/>
    <w:rsid w:val="000A5E1B"/>
    <w:rsid w:val="000A6411"/>
    <w:rsid w:val="000A7DEF"/>
    <w:rsid w:val="000B0B24"/>
    <w:rsid w:val="000B1DF6"/>
    <w:rsid w:val="000B29C6"/>
    <w:rsid w:val="000B2B21"/>
    <w:rsid w:val="000B3A1F"/>
    <w:rsid w:val="000B3B7B"/>
    <w:rsid w:val="000B44D3"/>
    <w:rsid w:val="000B50E0"/>
    <w:rsid w:val="000B5E68"/>
    <w:rsid w:val="000B6A3E"/>
    <w:rsid w:val="000C2166"/>
    <w:rsid w:val="000C5F91"/>
    <w:rsid w:val="000C6802"/>
    <w:rsid w:val="000C70FB"/>
    <w:rsid w:val="000C7529"/>
    <w:rsid w:val="000C7786"/>
    <w:rsid w:val="000D021A"/>
    <w:rsid w:val="000D025D"/>
    <w:rsid w:val="000D105A"/>
    <w:rsid w:val="000D118E"/>
    <w:rsid w:val="000D1B4A"/>
    <w:rsid w:val="000D1D54"/>
    <w:rsid w:val="000D243B"/>
    <w:rsid w:val="000D2595"/>
    <w:rsid w:val="000D2C4B"/>
    <w:rsid w:val="000D3F16"/>
    <w:rsid w:val="000D42F1"/>
    <w:rsid w:val="000D5A9A"/>
    <w:rsid w:val="000D6C2D"/>
    <w:rsid w:val="000D6FE6"/>
    <w:rsid w:val="000D7351"/>
    <w:rsid w:val="000E143C"/>
    <w:rsid w:val="000E3CC5"/>
    <w:rsid w:val="000E4223"/>
    <w:rsid w:val="000E4A8F"/>
    <w:rsid w:val="000E502E"/>
    <w:rsid w:val="000E5D6F"/>
    <w:rsid w:val="000E5F41"/>
    <w:rsid w:val="000E65E3"/>
    <w:rsid w:val="000F049D"/>
    <w:rsid w:val="000F108B"/>
    <w:rsid w:val="000F161F"/>
    <w:rsid w:val="000F23BD"/>
    <w:rsid w:val="000F257F"/>
    <w:rsid w:val="000F2BC3"/>
    <w:rsid w:val="000F2DC6"/>
    <w:rsid w:val="000F4BA2"/>
    <w:rsid w:val="000F5CC7"/>
    <w:rsid w:val="000F66C5"/>
    <w:rsid w:val="000F78B2"/>
    <w:rsid w:val="001006AF"/>
    <w:rsid w:val="00100F1F"/>
    <w:rsid w:val="00101127"/>
    <w:rsid w:val="0010293D"/>
    <w:rsid w:val="001031E1"/>
    <w:rsid w:val="00103825"/>
    <w:rsid w:val="00106E9E"/>
    <w:rsid w:val="00110D0C"/>
    <w:rsid w:val="00111290"/>
    <w:rsid w:val="0011146D"/>
    <w:rsid w:val="00111D13"/>
    <w:rsid w:val="00112126"/>
    <w:rsid w:val="00112BF2"/>
    <w:rsid w:val="00113522"/>
    <w:rsid w:val="00113579"/>
    <w:rsid w:val="0011372F"/>
    <w:rsid w:val="00113BD2"/>
    <w:rsid w:val="00114033"/>
    <w:rsid w:val="00114843"/>
    <w:rsid w:val="00116442"/>
    <w:rsid w:val="00116498"/>
    <w:rsid w:val="001200A8"/>
    <w:rsid w:val="00120797"/>
    <w:rsid w:val="00120FEB"/>
    <w:rsid w:val="001212F5"/>
    <w:rsid w:val="00121EB2"/>
    <w:rsid w:val="0012214C"/>
    <w:rsid w:val="00122190"/>
    <w:rsid w:val="001228C4"/>
    <w:rsid w:val="001232B3"/>
    <w:rsid w:val="0012373F"/>
    <w:rsid w:val="00123A7A"/>
    <w:rsid w:val="00123B53"/>
    <w:rsid w:val="00124B9D"/>
    <w:rsid w:val="00124E76"/>
    <w:rsid w:val="00125B69"/>
    <w:rsid w:val="00126556"/>
    <w:rsid w:val="0012664B"/>
    <w:rsid w:val="00126E12"/>
    <w:rsid w:val="001279AC"/>
    <w:rsid w:val="0013134C"/>
    <w:rsid w:val="00132151"/>
    <w:rsid w:val="001321C9"/>
    <w:rsid w:val="001326AB"/>
    <w:rsid w:val="001350E9"/>
    <w:rsid w:val="001352FB"/>
    <w:rsid w:val="00136E4A"/>
    <w:rsid w:val="00137052"/>
    <w:rsid w:val="00141523"/>
    <w:rsid w:val="001415F4"/>
    <w:rsid w:val="001419FC"/>
    <w:rsid w:val="001428B1"/>
    <w:rsid w:val="001431A5"/>
    <w:rsid w:val="001437AC"/>
    <w:rsid w:val="001459C2"/>
    <w:rsid w:val="00150B55"/>
    <w:rsid w:val="00151680"/>
    <w:rsid w:val="001516C7"/>
    <w:rsid w:val="001538A6"/>
    <w:rsid w:val="00153B71"/>
    <w:rsid w:val="0015410E"/>
    <w:rsid w:val="00154ACB"/>
    <w:rsid w:val="001550CD"/>
    <w:rsid w:val="00155842"/>
    <w:rsid w:val="00155C76"/>
    <w:rsid w:val="00156566"/>
    <w:rsid w:val="00156C8C"/>
    <w:rsid w:val="00160BB1"/>
    <w:rsid w:val="00160DEE"/>
    <w:rsid w:val="00161640"/>
    <w:rsid w:val="001617A6"/>
    <w:rsid w:val="00161CCD"/>
    <w:rsid w:val="00162C22"/>
    <w:rsid w:val="00164525"/>
    <w:rsid w:val="001646FE"/>
    <w:rsid w:val="00164A7D"/>
    <w:rsid w:val="0016673C"/>
    <w:rsid w:val="00167458"/>
    <w:rsid w:val="001718BB"/>
    <w:rsid w:val="00171AC4"/>
    <w:rsid w:val="001722D1"/>
    <w:rsid w:val="001737C9"/>
    <w:rsid w:val="00173BDD"/>
    <w:rsid w:val="00174031"/>
    <w:rsid w:val="00176748"/>
    <w:rsid w:val="00177162"/>
    <w:rsid w:val="001779AE"/>
    <w:rsid w:val="00177B3F"/>
    <w:rsid w:val="001829AF"/>
    <w:rsid w:val="001845EC"/>
    <w:rsid w:val="00184892"/>
    <w:rsid w:val="00184EC3"/>
    <w:rsid w:val="00184F21"/>
    <w:rsid w:val="001859F4"/>
    <w:rsid w:val="00185AE9"/>
    <w:rsid w:val="00186575"/>
    <w:rsid w:val="0019122F"/>
    <w:rsid w:val="00191566"/>
    <w:rsid w:val="001929F6"/>
    <w:rsid w:val="00193227"/>
    <w:rsid w:val="00194431"/>
    <w:rsid w:val="0019599D"/>
    <w:rsid w:val="001A0130"/>
    <w:rsid w:val="001A6C52"/>
    <w:rsid w:val="001A751D"/>
    <w:rsid w:val="001A77B8"/>
    <w:rsid w:val="001B04E1"/>
    <w:rsid w:val="001B089E"/>
    <w:rsid w:val="001B13D7"/>
    <w:rsid w:val="001B1BFE"/>
    <w:rsid w:val="001B26F1"/>
    <w:rsid w:val="001B2D6E"/>
    <w:rsid w:val="001B32B2"/>
    <w:rsid w:val="001B3605"/>
    <w:rsid w:val="001B64AA"/>
    <w:rsid w:val="001B65D6"/>
    <w:rsid w:val="001B66B4"/>
    <w:rsid w:val="001B6933"/>
    <w:rsid w:val="001B6D80"/>
    <w:rsid w:val="001B72E9"/>
    <w:rsid w:val="001C00FF"/>
    <w:rsid w:val="001C026C"/>
    <w:rsid w:val="001C05CF"/>
    <w:rsid w:val="001C0FA7"/>
    <w:rsid w:val="001C1F07"/>
    <w:rsid w:val="001C3F3E"/>
    <w:rsid w:val="001C44C9"/>
    <w:rsid w:val="001C4F13"/>
    <w:rsid w:val="001C541E"/>
    <w:rsid w:val="001C554A"/>
    <w:rsid w:val="001C6899"/>
    <w:rsid w:val="001C747A"/>
    <w:rsid w:val="001D199C"/>
    <w:rsid w:val="001D25AC"/>
    <w:rsid w:val="001D2DDA"/>
    <w:rsid w:val="001D3061"/>
    <w:rsid w:val="001D3D08"/>
    <w:rsid w:val="001D6C8F"/>
    <w:rsid w:val="001D70B5"/>
    <w:rsid w:val="001D7B3A"/>
    <w:rsid w:val="001E0074"/>
    <w:rsid w:val="001E0574"/>
    <w:rsid w:val="001E091C"/>
    <w:rsid w:val="001E0A5C"/>
    <w:rsid w:val="001E4066"/>
    <w:rsid w:val="001E544F"/>
    <w:rsid w:val="001E77A6"/>
    <w:rsid w:val="001F034D"/>
    <w:rsid w:val="001F2305"/>
    <w:rsid w:val="001F3850"/>
    <w:rsid w:val="001F4175"/>
    <w:rsid w:val="001F49ED"/>
    <w:rsid w:val="001F56F7"/>
    <w:rsid w:val="002016E1"/>
    <w:rsid w:val="00202596"/>
    <w:rsid w:val="00202C4B"/>
    <w:rsid w:val="00202D10"/>
    <w:rsid w:val="0020484F"/>
    <w:rsid w:val="00205628"/>
    <w:rsid w:val="002057BF"/>
    <w:rsid w:val="002061C2"/>
    <w:rsid w:val="00206795"/>
    <w:rsid w:val="00210697"/>
    <w:rsid w:val="00210854"/>
    <w:rsid w:val="00210FBF"/>
    <w:rsid w:val="00211324"/>
    <w:rsid w:val="002143DD"/>
    <w:rsid w:val="0021456E"/>
    <w:rsid w:val="00215272"/>
    <w:rsid w:val="00215737"/>
    <w:rsid w:val="00215C39"/>
    <w:rsid w:val="0021628E"/>
    <w:rsid w:val="00216348"/>
    <w:rsid w:val="0022103F"/>
    <w:rsid w:val="00221AA0"/>
    <w:rsid w:val="0022250A"/>
    <w:rsid w:val="00222A13"/>
    <w:rsid w:val="00222B6F"/>
    <w:rsid w:val="00223E6F"/>
    <w:rsid w:val="002241BA"/>
    <w:rsid w:val="002257CB"/>
    <w:rsid w:val="002268D0"/>
    <w:rsid w:val="00227D8E"/>
    <w:rsid w:val="002306FB"/>
    <w:rsid w:val="0023121A"/>
    <w:rsid w:val="00235AF7"/>
    <w:rsid w:val="0023633A"/>
    <w:rsid w:val="00237703"/>
    <w:rsid w:val="00240A9C"/>
    <w:rsid w:val="00240ECD"/>
    <w:rsid w:val="002410A5"/>
    <w:rsid w:val="002411C5"/>
    <w:rsid w:val="00241239"/>
    <w:rsid w:val="00241456"/>
    <w:rsid w:val="00241554"/>
    <w:rsid w:val="00241ADF"/>
    <w:rsid w:val="00241CC0"/>
    <w:rsid w:val="00245A53"/>
    <w:rsid w:val="00245AE5"/>
    <w:rsid w:val="00245F97"/>
    <w:rsid w:val="00246242"/>
    <w:rsid w:val="00246625"/>
    <w:rsid w:val="00247A76"/>
    <w:rsid w:val="00247D6C"/>
    <w:rsid w:val="00250B53"/>
    <w:rsid w:val="0025119A"/>
    <w:rsid w:val="00251456"/>
    <w:rsid w:val="00251EF3"/>
    <w:rsid w:val="00252937"/>
    <w:rsid w:val="00252D42"/>
    <w:rsid w:val="002535ED"/>
    <w:rsid w:val="00253B3D"/>
    <w:rsid w:val="00254CBB"/>
    <w:rsid w:val="00255165"/>
    <w:rsid w:val="0026037E"/>
    <w:rsid w:val="00260811"/>
    <w:rsid w:val="00260D1A"/>
    <w:rsid w:val="00262F19"/>
    <w:rsid w:val="00263034"/>
    <w:rsid w:val="002638EA"/>
    <w:rsid w:val="00266A12"/>
    <w:rsid w:val="002710B0"/>
    <w:rsid w:val="00273247"/>
    <w:rsid w:val="00274162"/>
    <w:rsid w:val="002746B4"/>
    <w:rsid w:val="002746F2"/>
    <w:rsid w:val="00277364"/>
    <w:rsid w:val="00277E4B"/>
    <w:rsid w:val="002805D2"/>
    <w:rsid w:val="00280963"/>
    <w:rsid w:val="00280CE6"/>
    <w:rsid w:val="0028449A"/>
    <w:rsid w:val="002844D6"/>
    <w:rsid w:val="00285B30"/>
    <w:rsid w:val="00287321"/>
    <w:rsid w:val="00287427"/>
    <w:rsid w:val="00287A22"/>
    <w:rsid w:val="0029010F"/>
    <w:rsid w:val="00290AFA"/>
    <w:rsid w:val="00290F71"/>
    <w:rsid w:val="00291E96"/>
    <w:rsid w:val="00293737"/>
    <w:rsid w:val="002943D3"/>
    <w:rsid w:val="002944C7"/>
    <w:rsid w:val="002945D0"/>
    <w:rsid w:val="00295407"/>
    <w:rsid w:val="002957C9"/>
    <w:rsid w:val="00296557"/>
    <w:rsid w:val="00296A60"/>
    <w:rsid w:val="002A038C"/>
    <w:rsid w:val="002A0AB1"/>
    <w:rsid w:val="002A16BD"/>
    <w:rsid w:val="002A194A"/>
    <w:rsid w:val="002A5E82"/>
    <w:rsid w:val="002A6A0A"/>
    <w:rsid w:val="002A7021"/>
    <w:rsid w:val="002A7E18"/>
    <w:rsid w:val="002B030D"/>
    <w:rsid w:val="002B0860"/>
    <w:rsid w:val="002B140A"/>
    <w:rsid w:val="002B1F72"/>
    <w:rsid w:val="002B4DE0"/>
    <w:rsid w:val="002B4F35"/>
    <w:rsid w:val="002B51B8"/>
    <w:rsid w:val="002B5783"/>
    <w:rsid w:val="002B6C63"/>
    <w:rsid w:val="002B7352"/>
    <w:rsid w:val="002C1909"/>
    <w:rsid w:val="002C1971"/>
    <w:rsid w:val="002C2BA2"/>
    <w:rsid w:val="002C3533"/>
    <w:rsid w:val="002C46DE"/>
    <w:rsid w:val="002C4C47"/>
    <w:rsid w:val="002C4FB3"/>
    <w:rsid w:val="002C5CF7"/>
    <w:rsid w:val="002C64D1"/>
    <w:rsid w:val="002C7805"/>
    <w:rsid w:val="002C7C21"/>
    <w:rsid w:val="002D0143"/>
    <w:rsid w:val="002D0B1E"/>
    <w:rsid w:val="002D164E"/>
    <w:rsid w:val="002D3079"/>
    <w:rsid w:val="002D49CD"/>
    <w:rsid w:val="002D55C2"/>
    <w:rsid w:val="002D5FD9"/>
    <w:rsid w:val="002D6310"/>
    <w:rsid w:val="002D658D"/>
    <w:rsid w:val="002D7C48"/>
    <w:rsid w:val="002D7FE3"/>
    <w:rsid w:val="002E03C9"/>
    <w:rsid w:val="002E0662"/>
    <w:rsid w:val="002E2652"/>
    <w:rsid w:val="002E3076"/>
    <w:rsid w:val="002E41FA"/>
    <w:rsid w:val="002E49F8"/>
    <w:rsid w:val="002E4A2B"/>
    <w:rsid w:val="002E5D07"/>
    <w:rsid w:val="002E6AA6"/>
    <w:rsid w:val="002E6CF6"/>
    <w:rsid w:val="002F4085"/>
    <w:rsid w:val="002F4803"/>
    <w:rsid w:val="002F488C"/>
    <w:rsid w:val="002F4A34"/>
    <w:rsid w:val="002F4FBA"/>
    <w:rsid w:val="002F60CE"/>
    <w:rsid w:val="002F64B3"/>
    <w:rsid w:val="002F6C3E"/>
    <w:rsid w:val="002F6F29"/>
    <w:rsid w:val="002F72DC"/>
    <w:rsid w:val="00300BD1"/>
    <w:rsid w:val="00301451"/>
    <w:rsid w:val="00301886"/>
    <w:rsid w:val="00301926"/>
    <w:rsid w:val="0030213D"/>
    <w:rsid w:val="0030243E"/>
    <w:rsid w:val="00302B4F"/>
    <w:rsid w:val="003043C8"/>
    <w:rsid w:val="00304ADD"/>
    <w:rsid w:val="00304ED2"/>
    <w:rsid w:val="0030655D"/>
    <w:rsid w:val="00306919"/>
    <w:rsid w:val="003069AD"/>
    <w:rsid w:val="003103E4"/>
    <w:rsid w:val="00310581"/>
    <w:rsid w:val="0031293A"/>
    <w:rsid w:val="00312DA5"/>
    <w:rsid w:val="0031304A"/>
    <w:rsid w:val="00313A27"/>
    <w:rsid w:val="003145C0"/>
    <w:rsid w:val="00315E80"/>
    <w:rsid w:val="00316BBE"/>
    <w:rsid w:val="0031714B"/>
    <w:rsid w:val="0032084D"/>
    <w:rsid w:val="0032089F"/>
    <w:rsid w:val="003208CC"/>
    <w:rsid w:val="00320A09"/>
    <w:rsid w:val="00320D68"/>
    <w:rsid w:val="00322A7E"/>
    <w:rsid w:val="00322C6D"/>
    <w:rsid w:val="00323FC4"/>
    <w:rsid w:val="00324F86"/>
    <w:rsid w:val="00324FC5"/>
    <w:rsid w:val="00325EA4"/>
    <w:rsid w:val="00327852"/>
    <w:rsid w:val="0033097D"/>
    <w:rsid w:val="00330D78"/>
    <w:rsid w:val="00331200"/>
    <w:rsid w:val="00333D80"/>
    <w:rsid w:val="00333F56"/>
    <w:rsid w:val="00333F86"/>
    <w:rsid w:val="00334DA3"/>
    <w:rsid w:val="003356B5"/>
    <w:rsid w:val="00336027"/>
    <w:rsid w:val="00337F5A"/>
    <w:rsid w:val="00340127"/>
    <w:rsid w:val="0034143B"/>
    <w:rsid w:val="003414D7"/>
    <w:rsid w:val="003421D8"/>
    <w:rsid w:val="00343B0F"/>
    <w:rsid w:val="00344442"/>
    <w:rsid w:val="00344CB8"/>
    <w:rsid w:val="0034579B"/>
    <w:rsid w:val="0034694B"/>
    <w:rsid w:val="003470D6"/>
    <w:rsid w:val="00347C31"/>
    <w:rsid w:val="00351418"/>
    <w:rsid w:val="00352CCE"/>
    <w:rsid w:val="003532DE"/>
    <w:rsid w:val="003535F7"/>
    <w:rsid w:val="00353617"/>
    <w:rsid w:val="00353DC8"/>
    <w:rsid w:val="00354760"/>
    <w:rsid w:val="0035495C"/>
    <w:rsid w:val="0035575C"/>
    <w:rsid w:val="00356C8C"/>
    <w:rsid w:val="00357530"/>
    <w:rsid w:val="0035782C"/>
    <w:rsid w:val="00357C5C"/>
    <w:rsid w:val="00360FDE"/>
    <w:rsid w:val="00362D31"/>
    <w:rsid w:val="00362F55"/>
    <w:rsid w:val="00363481"/>
    <w:rsid w:val="00364ABA"/>
    <w:rsid w:val="00364C62"/>
    <w:rsid w:val="00366724"/>
    <w:rsid w:val="00366EEF"/>
    <w:rsid w:val="003701A9"/>
    <w:rsid w:val="00371765"/>
    <w:rsid w:val="00373130"/>
    <w:rsid w:val="003732CF"/>
    <w:rsid w:val="003747A2"/>
    <w:rsid w:val="003754BD"/>
    <w:rsid w:val="00377A0A"/>
    <w:rsid w:val="0038097B"/>
    <w:rsid w:val="00380C42"/>
    <w:rsid w:val="003821A7"/>
    <w:rsid w:val="00382BD1"/>
    <w:rsid w:val="0038305D"/>
    <w:rsid w:val="00383A1C"/>
    <w:rsid w:val="00383F87"/>
    <w:rsid w:val="00384CCD"/>
    <w:rsid w:val="00385C77"/>
    <w:rsid w:val="00387417"/>
    <w:rsid w:val="00387A20"/>
    <w:rsid w:val="00390A88"/>
    <w:rsid w:val="003914A4"/>
    <w:rsid w:val="003915FB"/>
    <w:rsid w:val="003919A9"/>
    <w:rsid w:val="003920C1"/>
    <w:rsid w:val="00392647"/>
    <w:rsid w:val="00392B05"/>
    <w:rsid w:val="003937FE"/>
    <w:rsid w:val="00394F37"/>
    <w:rsid w:val="003950D8"/>
    <w:rsid w:val="00395D31"/>
    <w:rsid w:val="00397308"/>
    <w:rsid w:val="0039736B"/>
    <w:rsid w:val="003A00BE"/>
    <w:rsid w:val="003A111F"/>
    <w:rsid w:val="003A2774"/>
    <w:rsid w:val="003A2F32"/>
    <w:rsid w:val="003A372E"/>
    <w:rsid w:val="003A4153"/>
    <w:rsid w:val="003A41C7"/>
    <w:rsid w:val="003A51BC"/>
    <w:rsid w:val="003A5404"/>
    <w:rsid w:val="003A6579"/>
    <w:rsid w:val="003A73CC"/>
    <w:rsid w:val="003B0567"/>
    <w:rsid w:val="003B1D23"/>
    <w:rsid w:val="003B1E6F"/>
    <w:rsid w:val="003B214F"/>
    <w:rsid w:val="003B2B65"/>
    <w:rsid w:val="003B3548"/>
    <w:rsid w:val="003B4AC9"/>
    <w:rsid w:val="003B4E88"/>
    <w:rsid w:val="003B5560"/>
    <w:rsid w:val="003B7363"/>
    <w:rsid w:val="003C153C"/>
    <w:rsid w:val="003C2417"/>
    <w:rsid w:val="003C2DDD"/>
    <w:rsid w:val="003C3FBC"/>
    <w:rsid w:val="003C430C"/>
    <w:rsid w:val="003C4DF1"/>
    <w:rsid w:val="003C5CD9"/>
    <w:rsid w:val="003C62FA"/>
    <w:rsid w:val="003C687A"/>
    <w:rsid w:val="003C7B57"/>
    <w:rsid w:val="003C7C81"/>
    <w:rsid w:val="003D0239"/>
    <w:rsid w:val="003D06AC"/>
    <w:rsid w:val="003D17F1"/>
    <w:rsid w:val="003D1A2D"/>
    <w:rsid w:val="003D1ACA"/>
    <w:rsid w:val="003D597C"/>
    <w:rsid w:val="003D66A1"/>
    <w:rsid w:val="003D683C"/>
    <w:rsid w:val="003E03C3"/>
    <w:rsid w:val="003E1520"/>
    <w:rsid w:val="003E1E7F"/>
    <w:rsid w:val="003E2260"/>
    <w:rsid w:val="003E2373"/>
    <w:rsid w:val="003E3931"/>
    <w:rsid w:val="003E3F58"/>
    <w:rsid w:val="003E40DC"/>
    <w:rsid w:val="003E46BA"/>
    <w:rsid w:val="003E4B3E"/>
    <w:rsid w:val="003E57B8"/>
    <w:rsid w:val="003F0FE0"/>
    <w:rsid w:val="003F1802"/>
    <w:rsid w:val="003F597E"/>
    <w:rsid w:val="003F77E5"/>
    <w:rsid w:val="004001C1"/>
    <w:rsid w:val="00401608"/>
    <w:rsid w:val="00401D2E"/>
    <w:rsid w:val="00402A3E"/>
    <w:rsid w:val="004032F4"/>
    <w:rsid w:val="00406529"/>
    <w:rsid w:val="00407FFE"/>
    <w:rsid w:val="004103B5"/>
    <w:rsid w:val="00410F14"/>
    <w:rsid w:val="004115B9"/>
    <w:rsid w:val="0041315E"/>
    <w:rsid w:val="00413883"/>
    <w:rsid w:val="004156A7"/>
    <w:rsid w:val="004178C8"/>
    <w:rsid w:val="00417DC6"/>
    <w:rsid w:val="004204FA"/>
    <w:rsid w:val="00421E0A"/>
    <w:rsid w:val="00422DD9"/>
    <w:rsid w:val="0042459C"/>
    <w:rsid w:val="00424C96"/>
    <w:rsid w:val="0042699D"/>
    <w:rsid w:val="00431E7A"/>
    <w:rsid w:val="004320E7"/>
    <w:rsid w:val="00434054"/>
    <w:rsid w:val="00434452"/>
    <w:rsid w:val="004354CC"/>
    <w:rsid w:val="00436F60"/>
    <w:rsid w:val="0044049E"/>
    <w:rsid w:val="004412EF"/>
    <w:rsid w:val="0044132B"/>
    <w:rsid w:val="004416E8"/>
    <w:rsid w:val="00441904"/>
    <w:rsid w:val="0044242F"/>
    <w:rsid w:val="00442711"/>
    <w:rsid w:val="00442A67"/>
    <w:rsid w:val="00443123"/>
    <w:rsid w:val="00444C55"/>
    <w:rsid w:val="00445C36"/>
    <w:rsid w:val="00446C50"/>
    <w:rsid w:val="004473B8"/>
    <w:rsid w:val="004478E8"/>
    <w:rsid w:val="0045072B"/>
    <w:rsid w:val="00450931"/>
    <w:rsid w:val="0045099C"/>
    <w:rsid w:val="00450CC3"/>
    <w:rsid w:val="00452DDE"/>
    <w:rsid w:val="00457C34"/>
    <w:rsid w:val="0046044D"/>
    <w:rsid w:val="00460D50"/>
    <w:rsid w:val="00461DDA"/>
    <w:rsid w:val="00462527"/>
    <w:rsid w:val="00462857"/>
    <w:rsid w:val="00463F0A"/>
    <w:rsid w:val="00463FE8"/>
    <w:rsid w:val="004647E4"/>
    <w:rsid w:val="00464D51"/>
    <w:rsid w:val="00465EA7"/>
    <w:rsid w:val="004662DD"/>
    <w:rsid w:val="00467F61"/>
    <w:rsid w:val="00473685"/>
    <w:rsid w:val="00473BD9"/>
    <w:rsid w:val="00474C76"/>
    <w:rsid w:val="00474E6C"/>
    <w:rsid w:val="00477875"/>
    <w:rsid w:val="00477C31"/>
    <w:rsid w:val="0048090A"/>
    <w:rsid w:val="00480A3E"/>
    <w:rsid w:val="00481C96"/>
    <w:rsid w:val="0048284E"/>
    <w:rsid w:val="00482AA2"/>
    <w:rsid w:val="00482FE3"/>
    <w:rsid w:val="004840B4"/>
    <w:rsid w:val="004851FA"/>
    <w:rsid w:val="00485814"/>
    <w:rsid w:val="004858DD"/>
    <w:rsid w:val="00485AE8"/>
    <w:rsid w:val="00485DFA"/>
    <w:rsid w:val="00486EEC"/>
    <w:rsid w:val="004876D4"/>
    <w:rsid w:val="00491433"/>
    <w:rsid w:val="00491556"/>
    <w:rsid w:val="004915F5"/>
    <w:rsid w:val="00491F30"/>
    <w:rsid w:val="004926D9"/>
    <w:rsid w:val="0049288F"/>
    <w:rsid w:val="0049338B"/>
    <w:rsid w:val="00493E92"/>
    <w:rsid w:val="0049438A"/>
    <w:rsid w:val="00495ACC"/>
    <w:rsid w:val="00496A61"/>
    <w:rsid w:val="0049717F"/>
    <w:rsid w:val="004977F0"/>
    <w:rsid w:val="004A1FB3"/>
    <w:rsid w:val="004A30D7"/>
    <w:rsid w:val="004A3156"/>
    <w:rsid w:val="004A47D9"/>
    <w:rsid w:val="004A6E06"/>
    <w:rsid w:val="004A7FD1"/>
    <w:rsid w:val="004B3148"/>
    <w:rsid w:val="004B3487"/>
    <w:rsid w:val="004B4881"/>
    <w:rsid w:val="004B4889"/>
    <w:rsid w:val="004B4F06"/>
    <w:rsid w:val="004B50F5"/>
    <w:rsid w:val="004B531C"/>
    <w:rsid w:val="004B5690"/>
    <w:rsid w:val="004B65D8"/>
    <w:rsid w:val="004B7017"/>
    <w:rsid w:val="004B7074"/>
    <w:rsid w:val="004C068D"/>
    <w:rsid w:val="004C0B8F"/>
    <w:rsid w:val="004C0D9B"/>
    <w:rsid w:val="004C1FA7"/>
    <w:rsid w:val="004C32A0"/>
    <w:rsid w:val="004C348C"/>
    <w:rsid w:val="004C3D5A"/>
    <w:rsid w:val="004C73D3"/>
    <w:rsid w:val="004C747C"/>
    <w:rsid w:val="004D000F"/>
    <w:rsid w:val="004D026F"/>
    <w:rsid w:val="004D07E5"/>
    <w:rsid w:val="004D2814"/>
    <w:rsid w:val="004D2976"/>
    <w:rsid w:val="004D3313"/>
    <w:rsid w:val="004D3B73"/>
    <w:rsid w:val="004D44C3"/>
    <w:rsid w:val="004D5C43"/>
    <w:rsid w:val="004D690D"/>
    <w:rsid w:val="004D763D"/>
    <w:rsid w:val="004D76AC"/>
    <w:rsid w:val="004E31F5"/>
    <w:rsid w:val="004E6257"/>
    <w:rsid w:val="004E6E23"/>
    <w:rsid w:val="004E74AA"/>
    <w:rsid w:val="004E7CD2"/>
    <w:rsid w:val="004F02E6"/>
    <w:rsid w:val="004F0A68"/>
    <w:rsid w:val="004F169F"/>
    <w:rsid w:val="004F1963"/>
    <w:rsid w:val="004F2B82"/>
    <w:rsid w:val="004F2D54"/>
    <w:rsid w:val="004F3ED0"/>
    <w:rsid w:val="004F45D8"/>
    <w:rsid w:val="004F499F"/>
    <w:rsid w:val="004F5674"/>
    <w:rsid w:val="004F6422"/>
    <w:rsid w:val="004F79AE"/>
    <w:rsid w:val="00500335"/>
    <w:rsid w:val="00501E65"/>
    <w:rsid w:val="00502291"/>
    <w:rsid w:val="00502431"/>
    <w:rsid w:val="00503769"/>
    <w:rsid w:val="005049AC"/>
    <w:rsid w:val="005067A9"/>
    <w:rsid w:val="00507581"/>
    <w:rsid w:val="00510306"/>
    <w:rsid w:val="005132E1"/>
    <w:rsid w:val="00515ADC"/>
    <w:rsid w:val="00515F61"/>
    <w:rsid w:val="00516037"/>
    <w:rsid w:val="00516C31"/>
    <w:rsid w:val="00516C8D"/>
    <w:rsid w:val="00527263"/>
    <w:rsid w:val="005272B9"/>
    <w:rsid w:val="005273C3"/>
    <w:rsid w:val="00527C49"/>
    <w:rsid w:val="00527D98"/>
    <w:rsid w:val="005308C0"/>
    <w:rsid w:val="005318CA"/>
    <w:rsid w:val="00531BD5"/>
    <w:rsid w:val="00531E1F"/>
    <w:rsid w:val="005327E7"/>
    <w:rsid w:val="0053287D"/>
    <w:rsid w:val="005345E3"/>
    <w:rsid w:val="00535663"/>
    <w:rsid w:val="0053622C"/>
    <w:rsid w:val="00536AAD"/>
    <w:rsid w:val="0054182F"/>
    <w:rsid w:val="005436D0"/>
    <w:rsid w:val="00543C4B"/>
    <w:rsid w:val="005449EC"/>
    <w:rsid w:val="00544FB9"/>
    <w:rsid w:val="00545188"/>
    <w:rsid w:val="00546C97"/>
    <w:rsid w:val="005536CF"/>
    <w:rsid w:val="005542E7"/>
    <w:rsid w:val="0055464E"/>
    <w:rsid w:val="005548B0"/>
    <w:rsid w:val="00556A72"/>
    <w:rsid w:val="005603D4"/>
    <w:rsid w:val="00560452"/>
    <w:rsid w:val="0056261A"/>
    <w:rsid w:val="00563E00"/>
    <w:rsid w:val="00564123"/>
    <w:rsid w:val="0056506C"/>
    <w:rsid w:val="00565332"/>
    <w:rsid w:val="00566E0D"/>
    <w:rsid w:val="00567B22"/>
    <w:rsid w:val="00571167"/>
    <w:rsid w:val="0057135A"/>
    <w:rsid w:val="00571B8F"/>
    <w:rsid w:val="00572C87"/>
    <w:rsid w:val="005731B0"/>
    <w:rsid w:val="005743B7"/>
    <w:rsid w:val="0057473F"/>
    <w:rsid w:val="005748AD"/>
    <w:rsid w:val="00575085"/>
    <w:rsid w:val="005753B5"/>
    <w:rsid w:val="00576600"/>
    <w:rsid w:val="00580BB0"/>
    <w:rsid w:val="00583CEE"/>
    <w:rsid w:val="005865C8"/>
    <w:rsid w:val="00586A27"/>
    <w:rsid w:val="00587141"/>
    <w:rsid w:val="00590BAC"/>
    <w:rsid w:val="00590EB8"/>
    <w:rsid w:val="00591B20"/>
    <w:rsid w:val="00592414"/>
    <w:rsid w:val="005930A1"/>
    <w:rsid w:val="00593CEF"/>
    <w:rsid w:val="005967F1"/>
    <w:rsid w:val="00597B03"/>
    <w:rsid w:val="00597F49"/>
    <w:rsid w:val="005A1519"/>
    <w:rsid w:val="005A1A5D"/>
    <w:rsid w:val="005A2EE8"/>
    <w:rsid w:val="005A39E7"/>
    <w:rsid w:val="005A41E6"/>
    <w:rsid w:val="005A6A4C"/>
    <w:rsid w:val="005A741E"/>
    <w:rsid w:val="005A7729"/>
    <w:rsid w:val="005A7F1B"/>
    <w:rsid w:val="005B21AC"/>
    <w:rsid w:val="005B21BE"/>
    <w:rsid w:val="005B376C"/>
    <w:rsid w:val="005B485E"/>
    <w:rsid w:val="005B61E1"/>
    <w:rsid w:val="005B745D"/>
    <w:rsid w:val="005B789A"/>
    <w:rsid w:val="005B7B31"/>
    <w:rsid w:val="005C07E1"/>
    <w:rsid w:val="005C155E"/>
    <w:rsid w:val="005C2230"/>
    <w:rsid w:val="005C37FD"/>
    <w:rsid w:val="005C3E41"/>
    <w:rsid w:val="005C49E3"/>
    <w:rsid w:val="005C4EE1"/>
    <w:rsid w:val="005C5EF8"/>
    <w:rsid w:val="005C5F3D"/>
    <w:rsid w:val="005C6FF1"/>
    <w:rsid w:val="005C7CFA"/>
    <w:rsid w:val="005D1CDE"/>
    <w:rsid w:val="005D2D76"/>
    <w:rsid w:val="005D3E13"/>
    <w:rsid w:val="005D5276"/>
    <w:rsid w:val="005D5838"/>
    <w:rsid w:val="005D606E"/>
    <w:rsid w:val="005D6072"/>
    <w:rsid w:val="005E01F0"/>
    <w:rsid w:val="005E0E8A"/>
    <w:rsid w:val="005E175A"/>
    <w:rsid w:val="005E2039"/>
    <w:rsid w:val="005E267E"/>
    <w:rsid w:val="005E3378"/>
    <w:rsid w:val="005E3AA4"/>
    <w:rsid w:val="005E43BE"/>
    <w:rsid w:val="005E4939"/>
    <w:rsid w:val="005E4AF9"/>
    <w:rsid w:val="005E51DF"/>
    <w:rsid w:val="005E5DCF"/>
    <w:rsid w:val="005E7D1F"/>
    <w:rsid w:val="005F0FF8"/>
    <w:rsid w:val="005F267A"/>
    <w:rsid w:val="005F27F3"/>
    <w:rsid w:val="005F308C"/>
    <w:rsid w:val="005F4E2B"/>
    <w:rsid w:val="005F576F"/>
    <w:rsid w:val="005F583F"/>
    <w:rsid w:val="005F66D8"/>
    <w:rsid w:val="005F67E4"/>
    <w:rsid w:val="005F72E9"/>
    <w:rsid w:val="005F7924"/>
    <w:rsid w:val="0060080B"/>
    <w:rsid w:val="006014C5"/>
    <w:rsid w:val="00601B50"/>
    <w:rsid w:val="00603A9A"/>
    <w:rsid w:val="00604A5F"/>
    <w:rsid w:val="00604AD5"/>
    <w:rsid w:val="006050CD"/>
    <w:rsid w:val="00605809"/>
    <w:rsid w:val="00605A03"/>
    <w:rsid w:val="00605C52"/>
    <w:rsid w:val="0060659F"/>
    <w:rsid w:val="006067C2"/>
    <w:rsid w:val="00607A2A"/>
    <w:rsid w:val="00610324"/>
    <w:rsid w:val="00610BA8"/>
    <w:rsid w:val="00611122"/>
    <w:rsid w:val="00611E22"/>
    <w:rsid w:val="00612564"/>
    <w:rsid w:val="00612899"/>
    <w:rsid w:val="00613F58"/>
    <w:rsid w:val="00614791"/>
    <w:rsid w:val="00616AF9"/>
    <w:rsid w:val="006175C3"/>
    <w:rsid w:val="0062146A"/>
    <w:rsid w:val="006217F1"/>
    <w:rsid w:val="0062566C"/>
    <w:rsid w:val="00625A6E"/>
    <w:rsid w:val="00626B5E"/>
    <w:rsid w:val="00626F63"/>
    <w:rsid w:val="006274A8"/>
    <w:rsid w:val="0063002F"/>
    <w:rsid w:val="006307FB"/>
    <w:rsid w:val="00630CB5"/>
    <w:rsid w:val="00631071"/>
    <w:rsid w:val="006312AD"/>
    <w:rsid w:val="006316DD"/>
    <w:rsid w:val="00631FE3"/>
    <w:rsid w:val="006321BB"/>
    <w:rsid w:val="006322F0"/>
    <w:rsid w:val="0063240C"/>
    <w:rsid w:val="006335A7"/>
    <w:rsid w:val="006336E0"/>
    <w:rsid w:val="006355EC"/>
    <w:rsid w:val="00635683"/>
    <w:rsid w:val="00635BAC"/>
    <w:rsid w:val="00636BD8"/>
    <w:rsid w:val="006373A8"/>
    <w:rsid w:val="006373B5"/>
    <w:rsid w:val="00640715"/>
    <w:rsid w:val="006408ED"/>
    <w:rsid w:val="00641D55"/>
    <w:rsid w:val="00642ED5"/>
    <w:rsid w:val="006439FE"/>
    <w:rsid w:val="006445A2"/>
    <w:rsid w:val="00645747"/>
    <w:rsid w:val="00645F1E"/>
    <w:rsid w:val="00646AE8"/>
    <w:rsid w:val="00647DBB"/>
    <w:rsid w:val="006506F4"/>
    <w:rsid w:val="006508B9"/>
    <w:rsid w:val="006514A5"/>
    <w:rsid w:val="006519CF"/>
    <w:rsid w:val="00651A4F"/>
    <w:rsid w:val="00652E5E"/>
    <w:rsid w:val="006557CF"/>
    <w:rsid w:val="00655B50"/>
    <w:rsid w:val="006561B5"/>
    <w:rsid w:val="0065640B"/>
    <w:rsid w:val="00656AC0"/>
    <w:rsid w:val="00657A8A"/>
    <w:rsid w:val="00661BF2"/>
    <w:rsid w:val="00661CC4"/>
    <w:rsid w:val="00662860"/>
    <w:rsid w:val="00662A23"/>
    <w:rsid w:val="00663461"/>
    <w:rsid w:val="006635A7"/>
    <w:rsid w:val="006646B1"/>
    <w:rsid w:val="00664A25"/>
    <w:rsid w:val="00664BE8"/>
    <w:rsid w:val="006662B6"/>
    <w:rsid w:val="006665FA"/>
    <w:rsid w:val="00667629"/>
    <w:rsid w:val="006676D2"/>
    <w:rsid w:val="00670174"/>
    <w:rsid w:val="006710F9"/>
    <w:rsid w:val="00671678"/>
    <w:rsid w:val="006722A0"/>
    <w:rsid w:val="006736AF"/>
    <w:rsid w:val="006741C0"/>
    <w:rsid w:val="00675FEA"/>
    <w:rsid w:val="00676C21"/>
    <w:rsid w:val="006770E7"/>
    <w:rsid w:val="00681DD1"/>
    <w:rsid w:val="00683389"/>
    <w:rsid w:val="00683756"/>
    <w:rsid w:val="006844D1"/>
    <w:rsid w:val="00684B52"/>
    <w:rsid w:val="00684ED5"/>
    <w:rsid w:val="006869F1"/>
    <w:rsid w:val="00686CB7"/>
    <w:rsid w:val="00686E4C"/>
    <w:rsid w:val="00687216"/>
    <w:rsid w:val="0068798D"/>
    <w:rsid w:val="00687C68"/>
    <w:rsid w:val="0069038B"/>
    <w:rsid w:val="00690B2B"/>
    <w:rsid w:val="00691290"/>
    <w:rsid w:val="006923A5"/>
    <w:rsid w:val="0069315A"/>
    <w:rsid w:val="006A07B5"/>
    <w:rsid w:val="006A11FA"/>
    <w:rsid w:val="006A186D"/>
    <w:rsid w:val="006A1B4E"/>
    <w:rsid w:val="006A2043"/>
    <w:rsid w:val="006A2EF1"/>
    <w:rsid w:val="006A4706"/>
    <w:rsid w:val="006A4A70"/>
    <w:rsid w:val="006A5489"/>
    <w:rsid w:val="006A5AC6"/>
    <w:rsid w:val="006A7AEB"/>
    <w:rsid w:val="006B0471"/>
    <w:rsid w:val="006B2F63"/>
    <w:rsid w:val="006B34CE"/>
    <w:rsid w:val="006B3509"/>
    <w:rsid w:val="006B36BC"/>
    <w:rsid w:val="006B3C16"/>
    <w:rsid w:val="006B433D"/>
    <w:rsid w:val="006B43A6"/>
    <w:rsid w:val="006B5503"/>
    <w:rsid w:val="006B5AD4"/>
    <w:rsid w:val="006B6104"/>
    <w:rsid w:val="006B6AB5"/>
    <w:rsid w:val="006B6BC7"/>
    <w:rsid w:val="006B70B5"/>
    <w:rsid w:val="006B7CC5"/>
    <w:rsid w:val="006C0955"/>
    <w:rsid w:val="006C0C83"/>
    <w:rsid w:val="006C17BB"/>
    <w:rsid w:val="006C2709"/>
    <w:rsid w:val="006C392A"/>
    <w:rsid w:val="006C4669"/>
    <w:rsid w:val="006C4D19"/>
    <w:rsid w:val="006C5656"/>
    <w:rsid w:val="006C5872"/>
    <w:rsid w:val="006C5FC2"/>
    <w:rsid w:val="006C6D32"/>
    <w:rsid w:val="006C7519"/>
    <w:rsid w:val="006D0085"/>
    <w:rsid w:val="006D1EAB"/>
    <w:rsid w:val="006D21AD"/>
    <w:rsid w:val="006D4EBC"/>
    <w:rsid w:val="006D622C"/>
    <w:rsid w:val="006D6AAD"/>
    <w:rsid w:val="006E05F1"/>
    <w:rsid w:val="006E2CD8"/>
    <w:rsid w:val="006E33F7"/>
    <w:rsid w:val="006E3BC2"/>
    <w:rsid w:val="006E4B51"/>
    <w:rsid w:val="006E7CBA"/>
    <w:rsid w:val="006F0A9C"/>
    <w:rsid w:val="006F10BA"/>
    <w:rsid w:val="006F3A1B"/>
    <w:rsid w:val="006F4F7D"/>
    <w:rsid w:val="0070014B"/>
    <w:rsid w:val="00700EB8"/>
    <w:rsid w:val="007014B4"/>
    <w:rsid w:val="00701654"/>
    <w:rsid w:val="00702304"/>
    <w:rsid w:val="00702960"/>
    <w:rsid w:val="00703768"/>
    <w:rsid w:val="00703E1B"/>
    <w:rsid w:val="0070535A"/>
    <w:rsid w:val="00705A69"/>
    <w:rsid w:val="00705D28"/>
    <w:rsid w:val="007065F4"/>
    <w:rsid w:val="00706743"/>
    <w:rsid w:val="00706D4A"/>
    <w:rsid w:val="00707DC9"/>
    <w:rsid w:val="00710E52"/>
    <w:rsid w:val="0071367D"/>
    <w:rsid w:val="00714A01"/>
    <w:rsid w:val="00715F5E"/>
    <w:rsid w:val="007160C2"/>
    <w:rsid w:val="00717372"/>
    <w:rsid w:val="0072080B"/>
    <w:rsid w:val="00721B5A"/>
    <w:rsid w:val="00721D6A"/>
    <w:rsid w:val="00722A7B"/>
    <w:rsid w:val="00725937"/>
    <w:rsid w:val="00725A8D"/>
    <w:rsid w:val="007270A6"/>
    <w:rsid w:val="007272D8"/>
    <w:rsid w:val="00727BAD"/>
    <w:rsid w:val="007303B1"/>
    <w:rsid w:val="007306F6"/>
    <w:rsid w:val="007309C7"/>
    <w:rsid w:val="00730A12"/>
    <w:rsid w:val="00730AB2"/>
    <w:rsid w:val="00730BFB"/>
    <w:rsid w:val="00730E2D"/>
    <w:rsid w:val="0073110E"/>
    <w:rsid w:val="00731312"/>
    <w:rsid w:val="007319EA"/>
    <w:rsid w:val="00734642"/>
    <w:rsid w:val="00735EEC"/>
    <w:rsid w:val="007366B1"/>
    <w:rsid w:val="00736F50"/>
    <w:rsid w:val="0073795C"/>
    <w:rsid w:val="007406B9"/>
    <w:rsid w:val="00741C32"/>
    <w:rsid w:val="00744A95"/>
    <w:rsid w:val="0074598F"/>
    <w:rsid w:val="00747269"/>
    <w:rsid w:val="0074749C"/>
    <w:rsid w:val="00747B73"/>
    <w:rsid w:val="00747E80"/>
    <w:rsid w:val="00751887"/>
    <w:rsid w:val="007519B4"/>
    <w:rsid w:val="00751B25"/>
    <w:rsid w:val="00751E8F"/>
    <w:rsid w:val="00752A86"/>
    <w:rsid w:val="00753857"/>
    <w:rsid w:val="00755855"/>
    <w:rsid w:val="0075606D"/>
    <w:rsid w:val="007609BF"/>
    <w:rsid w:val="00760E40"/>
    <w:rsid w:val="007615C3"/>
    <w:rsid w:val="00762059"/>
    <w:rsid w:val="00762794"/>
    <w:rsid w:val="00763CDB"/>
    <w:rsid w:val="007665ED"/>
    <w:rsid w:val="007667CF"/>
    <w:rsid w:val="00766AD1"/>
    <w:rsid w:val="007670AD"/>
    <w:rsid w:val="007673B7"/>
    <w:rsid w:val="00771441"/>
    <w:rsid w:val="0077311B"/>
    <w:rsid w:val="0077353E"/>
    <w:rsid w:val="00774E1A"/>
    <w:rsid w:val="0077603F"/>
    <w:rsid w:val="007762E3"/>
    <w:rsid w:val="007803C5"/>
    <w:rsid w:val="0078162C"/>
    <w:rsid w:val="00781BFB"/>
    <w:rsid w:val="00781DD6"/>
    <w:rsid w:val="0078286D"/>
    <w:rsid w:val="00783A75"/>
    <w:rsid w:val="007842DA"/>
    <w:rsid w:val="0078667F"/>
    <w:rsid w:val="00790562"/>
    <w:rsid w:val="007912AD"/>
    <w:rsid w:val="0079195D"/>
    <w:rsid w:val="00793981"/>
    <w:rsid w:val="00793E61"/>
    <w:rsid w:val="00793F74"/>
    <w:rsid w:val="007A1B4C"/>
    <w:rsid w:val="007A1C27"/>
    <w:rsid w:val="007A26AB"/>
    <w:rsid w:val="007A2A69"/>
    <w:rsid w:val="007A394E"/>
    <w:rsid w:val="007A44BA"/>
    <w:rsid w:val="007A4E27"/>
    <w:rsid w:val="007B1866"/>
    <w:rsid w:val="007B2CB1"/>
    <w:rsid w:val="007B2CBE"/>
    <w:rsid w:val="007B47F5"/>
    <w:rsid w:val="007B49CB"/>
    <w:rsid w:val="007B4B60"/>
    <w:rsid w:val="007B6992"/>
    <w:rsid w:val="007C028E"/>
    <w:rsid w:val="007C1696"/>
    <w:rsid w:val="007C20DB"/>
    <w:rsid w:val="007C279A"/>
    <w:rsid w:val="007C3040"/>
    <w:rsid w:val="007C3FA0"/>
    <w:rsid w:val="007C525A"/>
    <w:rsid w:val="007C5F06"/>
    <w:rsid w:val="007C621E"/>
    <w:rsid w:val="007C6340"/>
    <w:rsid w:val="007C651D"/>
    <w:rsid w:val="007C6CB4"/>
    <w:rsid w:val="007C7552"/>
    <w:rsid w:val="007C7F0F"/>
    <w:rsid w:val="007D0541"/>
    <w:rsid w:val="007D20E1"/>
    <w:rsid w:val="007D215E"/>
    <w:rsid w:val="007D226B"/>
    <w:rsid w:val="007D2A15"/>
    <w:rsid w:val="007D2BAD"/>
    <w:rsid w:val="007D337A"/>
    <w:rsid w:val="007D3CCB"/>
    <w:rsid w:val="007D3F47"/>
    <w:rsid w:val="007D68FB"/>
    <w:rsid w:val="007D6AF4"/>
    <w:rsid w:val="007E00CE"/>
    <w:rsid w:val="007E063F"/>
    <w:rsid w:val="007E20BF"/>
    <w:rsid w:val="007E2D3D"/>
    <w:rsid w:val="007E5705"/>
    <w:rsid w:val="007E617E"/>
    <w:rsid w:val="007E6D58"/>
    <w:rsid w:val="007F05E3"/>
    <w:rsid w:val="007F0D22"/>
    <w:rsid w:val="007F12DC"/>
    <w:rsid w:val="007F14AA"/>
    <w:rsid w:val="007F180C"/>
    <w:rsid w:val="007F272B"/>
    <w:rsid w:val="007F5149"/>
    <w:rsid w:val="007F51C9"/>
    <w:rsid w:val="007F7946"/>
    <w:rsid w:val="007F7B8B"/>
    <w:rsid w:val="008006B7"/>
    <w:rsid w:val="00800DB5"/>
    <w:rsid w:val="00800EBE"/>
    <w:rsid w:val="00803EA7"/>
    <w:rsid w:val="00805228"/>
    <w:rsid w:val="00805C07"/>
    <w:rsid w:val="008071CE"/>
    <w:rsid w:val="00807668"/>
    <w:rsid w:val="00807AC1"/>
    <w:rsid w:val="00807E2F"/>
    <w:rsid w:val="008107FF"/>
    <w:rsid w:val="00811165"/>
    <w:rsid w:val="00811858"/>
    <w:rsid w:val="00811D9D"/>
    <w:rsid w:val="008137BB"/>
    <w:rsid w:val="00813A83"/>
    <w:rsid w:val="0081404F"/>
    <w:rsid w:val="00814292"/>
    <w:rsid w:val="00814DD0"/>
    <w:rsid w:val="0081642F"/>
    <w:rsid w:val="00816E28"/>
    <w:rsid w:val="008171D5"/>
    <w:rsid w:val="008171F9"/>
    <w:rsid w:val="00820370"/>
    <w:rsid w:val="00820667"/>
    <w:rsid w:val="00821466"/>
    <w:rsid w:val="0082199B"/>
    <w:rsid w:val="00821FB9"/>
    <w:rsid w:val="008220D8"/>
    <w:rsid w:val="008220F1"/>
    <w:rsid w:val="0082258B"/>
    <w:rsid w:val="00824120"/>
    <w:rsid w:val="00826423"/>
    <w:rsid w:val="00826605"/>
    <w:rsid w:val="0082708D"/>
    <w:rsid w:val="00830353"/>
    <w:rsid w:val="00830790"/>
    <w:rsid w:val="0083093A"/>
    <w:rsid w:val="00831DA0"/>
    <w:rsid w:val="008324F2"/>
    <w:rsid w:val="00834889"/>
    <w:rsid w:val="008351AE"/>
    <w:rsid w:val="008365B7"/>
    <w:rsid w:val="0083714B"/>
    <w:rsid w:val="008405B5"/>
    <w:rsid w:val="00840EE7"/>
    <w:rsid w:val="00841A86"/>
    <w:rsid w:val="00842BF8"/>
    <w:rsid w:val="008430BF"/>
    <w:rsid w:val="0084345C"/>
    <w:rsid w:val="00843512"/>
    <w:rsid w:val="00844687"/>
    <w:rsid w:val="00844DDA"/>
    <w:rsid w:val="00845243"/>
    <w:rsid w:val="0084584B"/>
    <w:rsid w:val="00845B15"/>
    <w:rsid w:val="00845FBE"/>
    <w:rsid w:val="00846073"/>
    <w:rsid w:val="008469E3"/>
    <w:rsid w:val="008472D4"/>
    <w:rsid w:val="00850396"/>
    <w:rsid w:val="00851546"/>
    <w:rsid w:val="00852626"/>
    <w:rsid w:val="0085297C"/>
    <w:rsid w:val="00852B8B"/>
    <w:rsid w:val="00852F51"/>
    <w:rsid w:val="0085437D"/>
    <w:rsid w:val="00854425"/>
    <w:rsid w:val="00854DCE"/>
    <w:rsid w:val="00855281"/>
    <w:rsid w:val="00855574"/>
    <w:rsid w:val="00855D8C"/>
    <w:rsid w:val="00857406"/>
    <w:rsid w:val="00857566"/>
    <w:rsid w:val="008575E2"/>
    <w:rsid w:val="00857AD8"/>
    <w:rsid w:val="0086029D"/>
    <w:rsid w:val="00860AC4"/>
    <w:rsid w:val="00861369"/>
    <w:rsid w:val="00861A45"/>
    <w:rsid w:val="0086276C"/>
    <w:rsid w:val="00864FE8"/>
    <w:rsid w:val="008661BB"/>
    <w:rsid w:val="00866F4F"/>
    <w:rsid w:val="008677E3"/>
    <w:rsid w:val="00867FF3"/>
    <w:rsid w:val="00871E46"/>
    <w:rsid w:val="00872CBD"/>
    <w:rsid w:val="00872ED3"/>
    <w:rsid w:val="00874C27"/>
    <w:rsid w:val="00875D18"/>
    <w:rsid w:val="008760E4"/>
    <w:rsid w:val="00877F49"/>
    <w:rsid w:val="008813F0"/>
    <w:rsid w:val="00881872"/>
    <w:rsid w:val="00881AF4"/>
    <w:rsid w:val="00882557"/>
    <w:rsid w:val="00884583"/>
    <w:rsid w:val="00884673"/>
    <w:rsid w:val="00884BBE"/>
    <w:rsid w:val="0088661F"/>
    <w:rsid w:val="00886693"/>
    <w:rsid w:val="00891247"/>
    <w:rsid w:val="00892B8B"/>
    <w:rsid w:val="00893217"/>
    <w:rsid w:val="00893477"/>
    <w:rsid w:val="00893D9C"/>
    <w:rsid w:val="00895D28"/>
    <w:rsid w:val="008975FB"/>
    <w:rsid w:val="00897CA8"/>
    <w:rsid w:val="008A118D"/>
    <w:rsid w:val="008A2BEB"/>
    <w:rsid w:val="008A2E0C"/>
    <w:rsid w:val="008A59C1"/>
    <w:rsid w:val="008A61A5"/>
    <w:rsid w:val="008A6E78"/>
    <w:rsid w:val="008A6F10"/>
    <w:rsid w:val="008A76CB"/>
    <w:rsid w:val="008A7CA0"/>
    <w:rsid w:val="008B08E8"/>
    <w:rsid w:val="008B0979"/>
    <w:rsid w:val="008B0A2F"/>
    <w:rsid w:val="008B1316"/>
    <w:rsid w:val="008B250E"/>
    <w:rsid w:val="008B2A8F"/>
    <w:rsid w:val="008B47E2"/>
    <w:rsid w:val="008B530E"/>
    <w:rsid w:val="008B6277"/>
    <w:rsid w:val="008B64EE"/>
    <w:rsid w:val="008B6F7D"/>
    <w:rsid w:val="008B716C"/>
    <w:rsid w:val="008C119F"/>
    <w:rsid w:val="008C1A08"/>
    <w:rsid w:val="008C5750"/>
    <w:rsid w:val="008C590D"/>
    <w:rsid w:val="008C704C"/>
    <w:rsid w:val="008C7518"/>
    <w:rsid w:val="008C77F7"/>
    <w:rsid w:val="008D07ED"/>
    <w:rsid w:val="008D09C8"/>
    <w:rsid w:val="008D1E6B"/>
    <w:rsid w:val="008D1FF4"/>
    <w:rsid w:val="008D3668"/>
    <w:rsid w:val="008D599B"/>
    <w:rsid w:val="008D5AF1"/>
    <w:rsid w:val="008D5BD5"/>
    <w:rsid w:val="008D639E"/>
    <w:rsid w:val="008D655C"/>
    <w:rsid w:val="008D6644"/>
    <w:rsid w:val="008D71A4"/>
    <w:rsid w:val="008D792D"/>
    <w:rsid w:val="008E04F0"/>
    <w:rsid w:val="008E0802"/>
    <w:rsid w:val="008E2898"/>
    <w:rsid w:val="008E4607"/>
    <w:rsid w:val="008E4CF1"/>
    <w:rsid w:val="008E54DC"/>
    <w:rsid w:val="008E5A35"/>
    <w:rsid w:val="008E5E2E"/>
    <w:rsid w:val="008E6697"/>
    <w:rsid w:val="008E7FBA"/>
    <w:rsid w:val="008F0CD6"/>
    <w:rsid w:val="008F2427"/>
    <w:rsid w:val="008F274E"/>
    <w:rsid w:val="008F2CAC"/>
    <w:rsid w:val="008F3C88"/>
    <w:rsid w:val="008F4A81"/>
    <w:rsid w:val="008F63BC"/>
    <w:rsid w:val="008F6B8C"/>
    <w:rsid w:val="008F6E65"/>
    <w:rsid w:val="008F6FFC"/>
    <w:rsid w:val="008F78B1"/>
    <w:rsid w:val="00900915"/>
    <w:rsid w:val="00902063"/>
    <w:rsid w:val="00902F60"/>
    <w:rsid w:val="00903E39"/>
    <w:rsid w:val="00903FA5"/>
    <w:rsid w:val="009048A1"/>
    <w:rsid w:val="00905493"/>
    <w:rsid w:val="0090555C"/>
    <w:rsid w:val="00906B1E"/>
    <w:rsid w:val="009074FB"/>
    <w:rsid w:val="00910B14"/>
    <w:rsid w:val="0091140E"/>
    <w:rsid w:val="00911C26"/>
    <w:rsid w:val="0091264D"/>
    <w:rsid w:val="009131F0"/>
    <w:rsid w:val="0091368A"/>
    <w:rsid w:val="00913966"/>
    <w:rsid w:val="00913A46"/>
    <w:rsid w:val="00914D95"/>
    <w:rsid w:val="0091514B"/>
    <w:rsid w:val="0091536A"/>
    <w:rsid w:val="00915AED"/>
    <w:rsid w:val="00916269"/>
    <w:rsid w:val="0091650A"/>
    <w:rsid w:val="0091653B"/>
    <w:rsid w:val="00917E42"/>
    <w:rsid w:val="00920A16"/>
    <w:rsid w:val="0092168B"/>
    <w:rsid w:val="00921BB9"/>
    <w:rsid w:val="00922D60"/>
    <w:rsid w:val="00923E87"/>
    <w:rsid w:val="00923FA3"/>
    <w:rsid w:val="00924362"/>
    <w:rsid w:val="009250AE"/>
    <w:rsid w:val="009253CD"/>
    <w:rsid w:val="00925F25"/>
    <w:rsid w:val="00926D5A"/>
    <w:rsid w:val="00927993"/>
    <w:rsid w:val="009302A2"/>
    <w:rsid w:val="00930640"/>
    <w:rsid w:val="009326A4"/>
    <w:rsid w:val="00932D9E"/>
    <w:rsid w:val="00933366"/>
    <w:rsid w:val="00934E11"/>
    <w:rsid w:val="00936414"/>
    <w:rsid w:val="0093674B"/>
    <w:rsid w:val="00936D5C"/>
    <w:rsid w:val="009375FF"/>
    <w:rsid w:val="009379C5"/>
    <w:rsid w:val="009409B7"/>
    <w:rsid w:val="009409C7"/>
    <w:rsid w:val="0094102F"/>
    <w:rsid w:val="00942404"/>
    <w:rsid w:val="00942FC3"/>
    <w:rsid w:val="00946809"/>
    <w:rsid w:val="00947EE4"/>
    <w:rsid w:val="00950BE1"/>
    <w:rsid w:val="00950CB1"/>
    <w:rsid w:val="00951D4F"/>
    <w:rsid w:val="00952106"/>
    <w:rsid w:val="00952898"/>
    <w:rsid w:val="009533BA"/>
    <w:rsid w:val="00953989"/>
    <w:rsid w:val="0095400C"/>
    <w:rsid w:val="00954FF5"/>
    <w:rsid w:val="00956990"/>
    <w:rsid w:val="00956A0B"/>
    <w:rsid w:val="00956EC6"/>
    <w:rsid w:val="009575D3"/>
    <w:rsid w:val="0096176C"/>
    <w:rsid w:val="009618F7"/>
    <w:rsid w:val="00963653"/>
    <w:rsid w:val="009648B1"/>
    <w:rsid w:val="0096638E"/>
    <w:rsid w:val="00970071"/>
    <w:rsid w:val="0097100F"/>
    <w:rsid w:val="00971EFC"/>
    <w:rsid w:val="00973686"/>
    <w:rsid w:val="00973BAA"/>
    <w:rsid w:val="00975302"/>
    <w:rsid w:val="00975624"/>
    <w:rsid w:val="00975ACB"/>
    <w:rsid w:val="0097645E"/>
    <w:rsid w:val="00976F53"/>
    <w:rsid w:val="0097772B"/>
    <w:rsid w:val="00977807"/>
    <w:rsid w:val="00977DBE"/>
    <w:rsid w:val="0098005E"/>
    <w:rsid w:val="00980543"/>
    <w:rsid w:val="00980DE5"/>
    <w:rsid w:val="0098293A"/>
    <w:rsid w:val="00984690"/>
    <w:rsid w:val="00984BA1"/>
    <w:rsid w:val="009861EA"/>
    <w:rsid w:val="00986D0C"/>
    <w:rsid w:val="00987A54"/>
    <w:rsid w:val="00987BC3"/>
    <w:rsid w:val="00987E5F"/>
    <w:rsid w:val="009904F3"/>
    <w:rsid w:val="00991CE5"/>
    <w:rsid w:val="00992818"/>
    <w:rsid w:val="00992A52"/>
    <w:rsid w:val="00994F31"/>
    <w:rsid w:val="0099521E"/>
    <w:rsid w:val="00995AD5"/>
    <w:rsid w:val="009968C9"/>
    <w:rsid w:val="009A03D2"/>
    <w:rsid w:val="009A0C75"/>
    <w:rsid w:val="009A373F"/>
    <w:rsid w:val="009A48C0"/>
    <w:rsid w:val="009A4ACD"/>
    <w:rsid w:val="009A4DDC"/>
    <w:rsid w:val="009A6611"/>
    <w:rsid w:val="009A6831"/>
    <w:rsid w:val="009A7774"/>
    <w:rsid w:val="009B03DF"/>
    <w:rsid w:val="009B0DFE"/>
    <w:rsid w:val="009B1363"/>
    <w:rsid w:val="009B1E1D"/>
    <w:rsid w:val="009B1F44"/>
    <w:rsid w:val="009B2125"/>
    <w:rsid w:val="009B2134"/>
    <w:rsid w:val="009B2591"/>
    <w:rsid w:val="009B2FC6"/>
    <w:rsid w:val="009B405C"/>
    <w:rsid w:val="009B5D14"/>
    <w:rsid w:val="009B71C5"/>
    <w:rsid w:val="009B7D26"/>
    <w:rsid w:val="009B7EDC"/>
    <w:rsid w:val="009C0113"/>
    <w:rsid w:val="009C0264"/>
    <w:rsid w:val="009C11A7"/>
    <w:rsid w:val="009C3387"/>
    <w:rsid w:val="009C3AD8"/>
    <w:rsid w:val="009C4477"/>
    <w:rsid w:val="009C6C7B"/>
    <w:rsid w:val="009C6E79"/>
    <w:rsid w:val="009C78F6"/>
    <w:rsid w:val="009C79F5"/>
    <w:rsid w:val="009C7D78"/>
    <w:rsid w:val="009D23EA"/>
    <w:rsid w:val="009D28A2"/>
    <w:rsid w:val="009D36F7"/>
    <w:rsid w:val="009D4634"/>
    <w:rsid w:val="009D4732"/>
    <w:rsid w:val="009D51EB"/>
    <w:rsid w:val="009D5561"/>
    <w:rsid w:val="009D5C10"/>
    <w:rsid w:val="009D5F6B"/>
    <w:rsid w:val="009D7A0C"/>
    <w:rsid w:val="009D7D12"/>
    <w:rsid w:val="009E0CC7"/>
    <w:rsid w:val="009E1D17"/>
    <w:rsid w:val="009E2C5B"/>
    <w:rsid w:val="009E34E8"/>
    <w:rsid w:val="009E3922"/>
    <w:rsid w:val="009E5246"/>
    <w:rsid w:val="009E57CF"/>
    <w:rsid w:val="009F0A8F"/>
    <w:rsid w:val="009F1E98"/>
    <w:rsid w:val="009F25C2"/>
    <w:rsid w:val="009F354C"/>
    <w:rsid w:val="009F3BF9"/>
    <w:rsid w:val="009F3C12"/>
    <w:rsid w:val="009F54BE"/>
    <w:rsid w:val="009F6AEB"/>
    <w:rsid w:val="009F7F16"/>
    <w:rsid w:val="00A00A09"/>
    <w:rsid w:val="00A0100A"/>
    <w:rsid w:val="00A0209F"/>
    <w:rsid w:val="00A02194"/>
    <w:rsid w:val="00A037E4"/>
    <w:rsid w:val="00A0395F"/>
    <w:rsid w:val="00A053BB"/>
    <w:rsid w:val="00A07502"/>
    <w:rsid w:val="00A1055E"/>
    <w:rsid w:val="00A10F92"/>
    <w:rsid w:val="00A1192A"/>
    <w:rsid w:val="00A11A9C"/>
    <w:rsid w:val="00A1352D"/>
    <w:rsid w:val="00A136B0"/>
    <w:rsid w:val="00A14C98"/>
    <w:rsid w:val="00A1504B"/>
    <w:rsid w:val="00A1514D"/>
    <w:rsid w:val="00A16E62"/>
    <w:rsid w:val="00A1710C"/>
    <w:rsid w:val="00A171F5"/>
    <w:rsid w:val="00A176BF"/>
    <w:rsid w:val="00A17738"/>
    <w:rsid w:val="00A17F02"/>
    <w:rsid w:val="00A210F6"/>
    <w:rsid w:val="00A21564"/>
    <w:rsid w:val="00A22403"/>
    <w:rsid w:val="00A23E23"/>
    <w:rsid w:val="00A2485B"/>
    <w:rsid w:val="00A2524A"/>
    <w:rsid w:val="00A263D3"/>
    <w:rsid w:val="00A26C17"/>
    <w:rsid w:val="00A277C5"/>
    <w:rsid w:val="00A30A49"/>
    <w:rsid w:val="00A312F1"/>
    <w:rsid w:val="00A3161E"/>
    <w:rsid w:val="00A316C2"/>
    <w:rsid w:val="00A31C8E"/>
    <w:rsid w:val="00A31CCA"/>
    <w:rsid w:val="00A33637"/>
    <w:rsid w:val="00A344CC"/>
    <w:rsid w:val="00A351F7"/>
    <w:rsid w:val="00A3578E"/>
    <w:rsid w:val="00A36504"/>
    <w:rsid w:val="00A36A28"/>
    <w:rsid w:val="00A36E18"/>
    <w:rsid w:val="00A372E5"/>
    <w:rsid w:val="00A37473"/>
    <w:rsid w:val="00A41E81"/>
    <w:rsid w:val="00A41F85"/>
    <w:rsid w:val="00A4207D"/>
    <w:rsid w:val="00A42301"/>
    <w:rsid w:val="00A42454"/>
    <w:rsid w:val="00A44022"/>
    <w:rsid w:val="00A44537"/>
    <w:rsid w:val="00A44DF7"/>
    <w:rsid w:val="00A451C7"/>
    <w:rsid w:val="00A457BA"/>
    <w:rsid w:val="00A46148"/>
    <w:rsid w:val="00A46DF7"/>
    <w:rsid w:val="00A47A5B"/>
    <w:rsid w:val="00A5155F"/>
    <w:rsid w:val="00A517F9"/>
    <w:rsid w:val="00A52CA0"/>
    <w:rsid w:val="00A5314E"/>
    <w:rsid w:val="00A579DE"/>
    <w:rsid w:val="00A57F91"/>
    <w:rsid w:val="00A613A3"/>
    <w:rsid w:val="00A628D9"/>
    <w:rsid w:val="00A62E87"/>
    <w:rsid w:val="00A63212"/>
    <w:rsid w:val="00A634A3"/>
    <w:rsid w:val="00A63BE2"/>
    <w:rsid w:val="00A645F7"/>
    <w:rsid w:val="00A65590"/>
    <w:rsid w:val="00A6698C"/>
    <w:rsid w:val="00A71C41"/>
    <w:rsid w:val="00A71F5F"/>
    <w:rsid w:val="00A741ED"/>
    <w:rsid w:val="00A74F00"/>
    <w:rsid w:val="00A753DE"/>
    <w:rsid w:val="00A75450"/>
    <w:rsid w:val="00A75A2B"/>
    <w:rsid w:val="00A75ED2"/>
    <w:rsid w:val="00A77263"/>
    <w:rsid w:val="00A77636"/>
    <w:rsid w:val="00A7798B"/>
    <w:rsid w:val="00A807D5"/>
    <w:rsid w:val="00A836E4"/>
    <w:rsid w:val="00A843A8"/>
    <w:rsid w:val="00A90A41"/>
    <w:rsid w:val="00A91A0A"/>
    <w:rsid w:val="00A9250B"/>
    <w:rsid w:val="00A92794"/>
    <w:rsid w:val="00A93071"/>
    <w:rsid w:val="00A948D4"/>
    <w:rsid w:val="00A96E0D"/>
    <w:rsid w:val="00A978C1"/>
    <w:rsid w:val="00A97FF5"/>
    <w:rsid w:val="00AA5A5C"/>
    <w:rsid w:val="00AA6FE6"/>
    <w:rsid w:val="00AA7CFB"/>
    <w:rsid w:val="00AA7E13"/>
    <w:rsid w:val="00AB0DFD"/>
    <w:rsid w:val="00AB326D"/>
    <w:rsid w:val="00AB38F0"/>
    <w:rsid w:val="00AB4407"/>
    <w:rsid w:val="00AB477D"/>
    <w:rsid w:val="00AB4AC3"/>
    <w:rsid w:val="00AB5DC4"/>
    <w:rsid w:val="00AB5F4D"/>
    <w:rsid w:val="00AB6726"/>
    <w:rsid w:val="00AC0002"/>
    <w:rsid w:val="00AC55AF"/>
    <w:rsid w:val="00AC7025"/>
    <w:rsid w:val="00AC7AB4"/>
    <w:rsid w:val="00AC7DE6"/>
    <w:rsid w:val="00AD02F2"/>
    <w:rsid w:val="00AD2BFE"/>
    <w:rsid w:val="00AD4B17"/>
    <w:rsid w:val="00AD5C85"/>
    <w:rsid w:val="00AD5DFF"/>
    <w:rsid w:val="00AD60AF"/>
    <w:rsid w:val="00AD623D"/>
    <w:rsid w:val="00AD7A6E"/>
    <w:rsid w:val="00AE0100"/>
    <w:rsid w:val="00AE2773"/>
    <w:rsid w:val="00AE35D2"/>
    <w:rsid w:val="00AE41EA"/>
    <w:rsid w:val="00AE4955"/>
    <w:rsid w:val="00AE51ED"/>
    <w:rsid w:val="00AE655E"/>
    <w:rsid w:val="00AF0197"/>
    <w:rsid w:val="00AF0C34"/>
    <w:rsid w:val="00AF13C9"/>
    <w:rsid w:val="00AF1525"/>
    <w:rsid w:val="00AF1D91"/>
    <w:rsid w:val="00AF1F2C"/>
    <w:rsid w:val="00AF217C"/>
    <w:rsid w:val="00AF281B"/>
    <w:rsid w:val="00AF2C51"/>
    <w:rsid w:val="00AF4531"/>
    <w:rsid w:val="00AF4CDA"/>
    <w:rsid w:val="00AF6BB2"/>
    <w:rsid w:val="00B00C47"/>
    <w:rsid w:val="00B00EF7"/>
    <w:rsid w:val="00B01FB9"/>
    <w:rsid w:val="00B04FE4"/>
    <w:rsid w:val="00B0599A"/>
    <w:rsid w:val="00B05EAC"/>
    <w:rsid w:val="00B06290"/>
    <w:rsid w:val="00B06C8A"/>
    <w:rsid w:val="00B06F68"/>
    <w:rsid w:val="00B07FF1"/>
    <w:rsid w:val="00B105D7"/>
    <w:rsid w:val="00B1133E"/>
    <w:rsid w:val="00B1296C"/>
    <w:rsid w:val="00B12C82"/>
    <w:rsid w:val="00B12D52"/>
    <w:rsid w:val="00B1371D"/>
    <w:rsid w:val="00B14A33"/>
    <w:rsid w:val="00B14FDD"/>
    <w:rsid w:val="00B155F3"/>
    <w:rsid w:val="00B16831"/>
    <w:rsid w:val="00B16916"/>
    <w:rsid w:val="00B203BA"/>
    <w:rsid w:val="00B2067F"/>
    <w:rsid w:val="00B2071F"/>
    <w:rsid w:val="00B21A04"/>
    <w:rsid w:val="00B22E5F"/>
    <w:rsid w:val="00B23311"/>
    <w:rsid w:val="00B23F9E"/>
    <w:rsid w:val="00B24BB6"/>
    <w:rsid w:val="00B25A44"/>
    <w:rsid w:val="00B25B2A"/>
    <w:rsid w:val="00B25DFA"/>
    <w:rsid w:val="00B30683"/>
    <w:rsid w:val="00B30929"/>
    <w:rsid w:val="00B33315"/>
    <w:rsid w:val="00B33882"/>
    <w:rsid w:val="00B3399C"/>
    <w:rsid w:val="00B34C41"/>
    <w:rsid w:val="00B35E8E"/>
    <w:rsid w:val="00B36308"/>
    <w:rsid w:val="00B36391"/>
    <w:rsid w:val="00B366F2"/>
    <w:rsid w:val="00B376C7"/>
    <w:rsid w:val="00B4038A"/>
    <w:rsid w:val="00B4076E"/>
    <w:rsid w:val="00B41D12"/>
    <w:rsid w:val="00B4283F"/>
    <w:rsid w:val="00B428EA"/>
    <w:rsid w:val="00B434C9"/>
    <w:rsid w:val="00B43B6C"/>
    <w:rsid w:val="00B50019"/>
    <w:rsid w:val="00B517DA"/>
    <w:rsid w:val="00B51916"/>
    <w:rsid w:val="00B529F9"/>
    <w:rsid w:val="00B52CEB"/>
    <w:rsid w:val="00B54F12"/>
    <w:rsid w:val="00B56CF9"/>
    <w:rsid w:val="00B61E63"/>
    <w:rsid w:val="00B621CA"/>
    <w:rsid w:val="00B62D1E"/>
    <w:rsid w:val="00B63233"/>
    <w:rsid w:val="00B63840"/>
    <w:rsid w:val="00B64C46"/>
    <w:rsid w:val="00B655D4"/>
    <w:rsid w:val="00B65E82"/>
    <w:rsid w:val="00B674BD"/>
    <w:rsid w:val="00B71A6B"/>
    <w:rsid w:val="00B7278D"/>
    <w:rsid w:val="00B72BC2"/>
    <w:rsid w:val="00B72CC9"/>
    <w:rsid w:val="00B72F6F"/>
    <w:rsid w:val="00B72F7D"/>
    <w:rsid w:val="00B74015"/>
    <w:rsid w:val="00B74685"/>
    <w:rsid w:val="00B74BB7"/>
    <w:rsid w:val="00B75C38"/>
    <w:rsid w:val="00B765D2"/>
    <w:rsid w:val="00B813BA"/>
    <w:rsid w:val="00B8164C"/>
    <w:rsid w:val="00B816C0"/>
    <w:rsid w:val="00B83924"/>
    <w:rsid w:val="00B83B36"/>
    <w:rsid w:val="00B8432F"/>
    <w:rsid w:val="00B84AFE"/>
    <w:rsid w:val="00B84E74"/>
    <w:rsid w:val="00B858E2"/>
    <w:rsid w:val="00B85DD2"/>
    <w:rsid w:val="00B86D57"/>
    <w:rsid w:val="00B92183"/>
    <w:rsid w:val="00B924D1"/>
    <w:rsid w:val="00B925BC"/>
    <w:rsid w:val="00B931BC"/>
    <w:rsid w:val="00B93EFB"/>
    <w:rsid w:val="00B96813"/>
    <w:rsid w:val="00B97224"/>
    <w:rsid w:val="00BA1FD4"/>
    <w:rsid w:val="00BA2F03"/>
    <w:rsid w:val="00BA55F7"/>
    <w:rsid w:val="00BA5A74"/>
    <w:rsid w:val="00BA5D53"/>
    <w:rsid w:val="00BB1B13"/>
    <w:rsid w:val="00BB2C24"/>
    <w:rsid w:val="00BB3C4A"/>
    <w:rsid w:val="00BB5A81"/>
    <w:rsid w:val="00BB6A91"/>
    <w:rsid w:val="00BB7454"/>
    <w:rsid w:val="00BB7780"/>
    <w:rsid w:val="00BB7880"/>
    <w:rsid w:val="00BC3D23"/>
    <w:rsid w:val="00BC4374"/>
    <w:rsid w:val="00BC4970"/>
    <w:rsid w:val="00BC49A3"/>
    <w:rsid w:val="00BC4F3E"/>
    <w:rsid w:val="00BC546B"/>
    <w:rsid w:val="00BC5B80"/>
    <w:rsid w:val="00BC6DFA"/>
    <w:rsid w:val="00BC7CA9"/>
    <w:rsid w:val="00BD0CB1"/>
    <w:rsid w:val="00BD1956"/>
    <w:rsid w:val="00BD22CA"/>
    <w:rsid w:val="00BD2A6F"/>
    <w:rsid w:val="00BD2E48"/>
    <w:rsid w:val="00BD2FBB"/>
    <w:rsid w:val="00BD35EE"/>
    <w:rsid w:val="00BD367B"/>
    <w:rsid w:val="00BD3B49"/>
    <w:rsid w:val="00BD5E1D"/>
    <w:rsid w:val="00BD63A9"/>
    <w:rsid w:val="00BE01FA"/>
    <w:rsid w:val="00BE0EBD"/>
    <w:rsid w:val="00BE16D3"/>
    <w:rsid w:val="00BE18B7"/>
    <w:rsid w:val="00BE43E7"/>
    <w:rsid w:val="00BE4474"/>
    <w:rsid w:val="00BE62B2"/>
    <w:rsid w:val="00BE669E"/>
    <w:rsid w:val="00BE69FB"/>
    <w:rsid w:val="00BF09FE"/>
    <w:rsid w:val="00BF2417"/>
    <w:rsid w:val="00BF27F0"/>
    <w:rsid w:val="00BF2EB8"/>
    <w:rsid w:val="00BF3270"/>
    <w:rsid w:val="00BF3416"/>
    <w:rsid w:val="00BF36CD"/>
    <w:rsid w:val="00BF4955"/>
    <w:rsid w:val="00BF79F8"/>
    <w:rsid w:val="00C00AD8"/>
    <w:rsid w:val="00C00E65"/>
    <w:rsid w:val="00C0117E"/>
    <w:rsid w:val="00C01F7E"/>
    <w:rsid w:val="00C0277E"/>
    <w:rsid w:val="00C02903"/>
    <w:rsid w:val="00C02ED8"/>
    <w:rsid w:val="00C030F3"/>
    <w:rsid w:val="00C04C63"/>
    <w:rsid w:val="00C051CF"/>
    <w:rsid w:val="00C052DE"/>
    <w:rsid w:val="00C05540"/>
    <w:rsid w:val="00C06156"/>
    <w:rsid w:val="00C067CE"/>
    <w:rsid w:val="00C112B7"/>
    <w:rsid w:val="00C13487"/>
    <w:rsid w:val="00C155C1"/>
    <w:rsid w:val="00C1606B"/>
    <w:rsid w:val="00C16199"/>
    <w:rsid w:val="00C1787C"/>
    <w:rsid w:val="00C2094D"/>
    <w:rsid w:val="00C21539"/>
    <w:rsid w:val="00C226DE"/>
    <w:rsid w:val="00C22956"/>
    <w:rsid w:val="00C22D1C"/>
    <w:rsid w:val="00C243C2"/>
    <w:rsid w:val="00C243E3"/>
    <w:rsid w:val="00C24ED8"/>
    <w:rsid w:val="00C2570C"/>
    <w:rsid w:val="00C27190"/>
    <w:rsid w:val="00C3031F"/>
    <w:rsid w:val="00C303C9"/>
    <w:rsid w:val="00C305E5"/>
    <w:rsid w:val="00C310D0"/>
    <w:rsid w:val="00C31C17"/>
    <w:rsid w:val="00C32766"/>
    <w:rsid w:val="00C33196"/>
    <w:rsid w:val="00C361A4"/>
    <w:rsid w:val="00C36400"/>
    <w:rsid w:val="00C3750E"/>
    <w:rsid w:val="00C41181"/>
    <w:rsid w:val="00C4292E"/>
    <w:rsid w:val="00C44601"/>
    <w:rsid w:val="00C44D2E"/>
    <w:rsid w:val="00C45B18"/>
    <w:rsid w:val="00C4697D"/>
    <w:rsid w:val="00C46DAB"/>
    <w:rsid w:val="00C46E24"/>
    <w:rsid w:val="00C46F56"/>
    <w:rsid w:val="00C501AA"/>
    <w:rsid w:val="00C511AA"/>
    <w:rsid w:val="00C51DD1"/>
    <w:rsid w:val="00C52D10"/>
    <w:rsid w:val="00C53F2F"/>
    <w:rsid w:val="00C54B56"/>
    <w:rsid w:val="00C55121"/>
    <w:rsid w:val="00C575BE"/>
    <w:rsid w:val="00C57F4A"/>
    <w:rsid w:val="00C60EE9"/>
    <w:rsid w:val="00C61295"/>
    <w:rsid w:val="00C628AA"/>
    <w:rsid w:val="00C6310A"/>
    <w:rsid w:val="00C63198"/>
    <w:rsid w:val="00C63F53"/>
    <w:rsid w:val="00C643B6"/>
    <w:rsid w:val="00C661D9"/>
    <w:rsid w:val="00C670C5"/>
    <w:rsid w:val="00C67CF9"/>
    <w:rsid w:val="00C70758"/>
    <w:rsid w:val="00C70F4E"/>
    <w:rsid w:val="00C7120E"/>
    <w:rsid w:val="00C71579"/>
    <w:rsid w:val="00C71B64"/>
    <w:rsid w:val="00C7206E"/>
    <w:rsid w:val="00C73328"/>
    <w:rsid w:val="00C75486"/>
    <w:rsid w:val="00C760F7"/>
    <w:rsid w:val="00C7654B"/>
    <w:rsid w:val="00C76A28"/>
    <w:rsid w:val="00C76E58"/>
    <w:rsid w:val="00C8081E"/>
    <w:rsid w:val="00C80DB9"/>
    <w:rsid w:val="00C814A0"/>
    <w:rsid w:val="00C816B6"/>
    <w:rsid w:val="00C82994"/>
    <w:rsid w:val="00C82C3B"/>
    <w:rsid w:val="00C833E9"/>
    <w:rsid w:val="00C83E3C"/>
    <w:rsid w:val="00C84025"/>
    <w:rsid w:val="00C86F35"/>
    <w:rsid w:val="00C87432"/>
    <w:rsid w:val="00C905C3"/>
    <w:rsid w:val="00C9086A"/>
    <w:rsid w:val="00C91A64"/>
    <w:rsid w:val="00C91AB0"/>
    <w:rsid w:val="00C921CD"/>
    <w:rsid w:val="00C923D2"/>
    <w:rsid w:val="00C923FA"/>
    <w:rsid w:val="00C92428"/>
    <w:rsid w:val="00C92C54"/>
    <w:rsid w:val="00C92CE0"/>
    <w:rsid w:val="00C96A82"/>
    <w:rsid w:val="00C97EBA"/>
    <w:rsid w:val="00CA0037"/>
    <w:rsid w:val="00CA1839"/>
    <w:rsid w:val="00CA2EC8"/>
    <w:rsid w:val="00CA37DC"/>
    <w:rsid w:val="00CA3B9C"/>
    <w:rsid w:val="00CA448E"/>
    <w:rsid w:val="00CA55A9"/>
    <w:rsid w:val="00CA56A1"/>
    <w:rsid w:val="00CA598B"/>
    <w:rsid w:val="00CA5D16"/>
    <w:rsid w:val="00CA64EE"/>
    <w:rsid w:val="00CA6692"/>
    <w:rsid w:val="00CA7144"/>
    <w:rsid w:val="00CA748D"/>
    <w:rsid w:val="00CA7E47"/>
    <w:rsid w:val="00CB09E3"/>
    <w:rsid w:val="00CB0AAC"/>
    <w:rsid w:val="00CB505F"/>
    <w:rsid w:val="00CB5899"/>
    <w:rsid w:val="00CB69B3"/>
    <w:rsid w:val="00CB6A1B"/>
    <w:rsid w:val="00CB7A8D"/>
    <w:rsid w:val="00CB7D24"/>
    <w:rsid w:val="00CC00EB"/>
    <w:rsid w:val="00CC035B"/>
    <w:rsid w:val="00CC12F1"/>
    <w:rsid w:val="00CC1F59"/>
    <w:rsid w:val="00CC35F0"/>
    <w:rsid w:val="00CC7CF8"/>
    <w:rsid w:val="00CD00E2"/>
    <w:rsid w:val="00CD03AF"/>
    <w:rsid w:val="00CD0844"/>
    <w:rsid w:val="00CD23EE"/>
    <w:rsid w:val="00CD25A7"/>
    <w:rsid w:val="00CD2DE4"/>
    <w:rsid w:val="00CD4178"/>
    <w:rsid w:val="00CD58E3"/>
    <w:rsid w:val="00CD7853"/>
    <w:rsid w:val="00CD7D98"/>
    <w:rsid w:val="00CE1487"/>
    <w:rsid w:val="00CE1A26"/>
    <w:rsid w:val="00CE1BCB"/>
    <w:rsid w:val="00CE1C4B"/>
    <w:rsid w:val="00CE2339"/>
    <w:rsid w:val="00CE235C"/>
    <w:rsid w:val="00CE2B35"/>
    <w:rsid w:val="00CE306E"/>
    <w:rsid w:val="00CE4355"/>
    <w:rsid w:val="00CE4D32"/>
    <w:rsid w:val="00CE68CD"/>
    <w:rsid w:val="00CE6A9B"/>
    <w:rsid w:val="00CE718C"/>
    <w:rsid w:val="00CE7CE4"/>
    <w:rsid w:val="00CE7EF8"/>
    <w:rsid w:val="00CF3E41"/>
    <w:rsid w:val="00CF5073"/>
    <w:rsid w:val="00CF556C"/>
    <w:rsid w:val="00CF5B8E"/>
    <w:rsid w:val="00CF5FEE"/>
    <w:rsid w:val="00CF6419"/>
    <w:rsid w:val="00CF6A16"/>
    <w:rsid w:val="00CF723D"/>
    <w:rsid w:val="00D0231A"/>
    <w:rsid w:val="00D02E1B"/>
    <w:rsid w:val="00D03A23"/>
    <w:rsid w:val="00D05918"/>
    <w:rsid w:val="00D073B6"/>
    <w:rsid w:val="00D1049E"/>
    <w:rsid w:val="00D10B98"/>
    <w:rsid w:val="00D10E1E"/>
    <w:rsid w:val="00D1106F"/>
    <w:rsid w:val="00D11559"/>
    <w:rsid w:val="00D11691"/>
    <w:rsid w:val="00D11860"/>
    <w:rsid w:val="00D13297"/>
    <w:rsid w:val="00D13B79"/>
    <w:rsid w:val="00D13D9A"/>
    <w:rsid w:val="00D14248"/>
    <w:rsid w:val="00D157CB"/>
    <w:rsid w:val="00D163EB"/>
    <w:rsid w:val="00D166A5"/>
    <w:rsid w:val="00D16ED8"/>
    <w:rsid w:val="00D170F6"/>
    <w:rsid w:val="00D17F3F"/>
    <w:rsid w:val="00D2094C"/>
    <w:rsid w:val="00D2131A"/>
    <w:rsid w:val="00D21ADF"/>
    <w:rsid w:val="00D21F9E"/>
    <w:rsid w:val="00D2209B"/>
    <w:rsid w:val="00D22C27"/>
    <w:rsid w:val="00D24988"/>
    <w:rsid w:val="00D24E70"/>
    <w:rsid w:val="00D26679"/>
    <w:rsid w:val="00D269F0"/>
    <w:rsid w:val="00D26A4A"/>
    <w:rsid w:val="00D3006C"/>
    <w:rsid w:val="00D3135F"/>
    <w:rsid w:val="00D32C12"/>
    <w:rsid w:val="00D33435"/>
    <w:rsid w:val="00D3394E"/>
    <w:rsid w:val="00D35856"/>
    <w:rsid w:val="00D3788C"/>
    <w:rsid w:val="00D4020E"/>
    <w:rsid w:val="00D405AE"/>
    <w:rsid w:val="00D40854"/>
    <w:rsid w:val="00D417A6"/>
    <w:rsid w:val="00D41C22"/>
    <w:rsid w:val="00D41EB3"/>
    <w:rsid w:val="00D41FE7"/>
    <w:rsid w:val="00D42515"/>
    <w:rsid w:val="00D42D6E"/>
    <w:rsid w:val="00D4505E"/>
    <w:rsid w:val="00D45DA7"/>
    <w:rsid w:val="00D460F0"/>
    <w:rsid w:val="00D47C85"/>
    <w:rsid w:val="00D511C2"/>
    <w:rsid w:val="00D51F5F"/>
    <w:rsid w:val="00D540E8"/>
    <w:rsid w:val="00D546E8"/>
    <w:rsid w:val="00D56803"/>
    <w:rsid w:val="00D56ED8"/>
    <w:rsid w:val="00D60E0A"/>
    <w:rsid w:val="00D612D8"/>
    <w:rsid w:val="00D61B8E"/>
    <w:rsid w:val="00D61C1D"/>
    <w:rsid w:val="00D61EBB"/>
    <w:rsid w:val="00D628EE"/>
    <w:rsid w:val="00D62ABF"/>
    <w:rsid w:val="00D62E15"/>
    <w:rsid w:val="00D639F5"/>
    <w:rsid w:val="00D65598"/>
    <w:rsid w:val="00D665C0"/>
    <w:rsid w:val="00D66915"/>
    <w:rsid w:val="00D72112"/>
    <w:rsid w:val="00D7216E"/>
    <w:rsid w:val="00D72A90"/>
    <w:rsid w:val="00D73346"/>
    <w:rsid w:val="00D75574"/>
    <w:rsid w:val="00D755C5"/>
    <w:rsid w:val="00D75EED"/>
    <w:rsid w:val="00D760C4"/>
    <w:rsid w:val="00D76693"/>
    <w:rsid w:val="00D76D0F"/>
    <w:rsid w:val="00D7702F"/>
    <w:rsid w:val="00D80B4E"/>
    <w:rsid w:val="00D821F8"/>
    <w:rsid w:val="00D82986"/>
    <w:rsid w:val="00D82AD0"/>
    <w:rsid w:val="00D83D8A"/>
    <w:rsid w:val="00D848E3"/>
    <w:rsid w:val="00D8553E"/>
    <w:rsid w:val="00D868FA"/>
    <w:rsid w:val="00D9013A"/>
    <w:rsid w:val="00D9043C"/>
    <w:rsid w:val="00D9085F"/>
    <w:rsid w:val="00D9111E"/>
    <w:rsid w:val="00D9233B"/>
    <w:rsid w:val="00D9301F"/>
    <w:rsid w:val="00D9319C"/>
    <w:rsid w:val="00D93BCC"/>
    <w:rsid w:val="00D94FBE"/>
    <w:rsid w:val="00D95D9A"/>
    <w:rsid w:val="00D97F18"/>
    <w:rsid w:val="00DA0346"/>
    <w:rsid w:val="00DA034D"/>
    <w:rsid w:val="00DA05D3"/>
    <w:rsid w:val="00DA2C2C"/>
    <w:rsid w:val="00DA2D11"/>
    <w:rsid w:val="00DA45EA"/>
    <w:rsid w:val="00DA63AD"/>
    <w:rsid w:val="00DA67B6"/>
    <w:rsid w:val="00DA766B"/>
    <w:rsid w:val="00DB1097"/>
    <w:rsid w:val="00DB1305"/>
    <w:rsid w:val="00DB1AF8"/>
    <w:rsid w:val="00DB20D1"/>
    <w:rsid w:val="00DB2E57"/>
    <w:rsid w:val="00DB32E7"/>
    <w:rsid w:val="00DB376B"/>
    <w:rsid w:val="00DB3C55"/>
    <w:rsid w:val="00DB4B46"/>
    <w:rsid w:val="00DB52F3"/>
    <w:rsid w:val="00DB531F"/>
    <w:rsid w:val="00DB5F4D"/>
    <w:rsid w:val="00DB6917"/>
    <w:rsid w:val="00DC1823"/>
    <w:rsid w:val="00DC32C7"/>
    <w:rsid w:val="00DC6721"/>
    <w:rsid w:val="00DC67D0"/>
    <w:rsid w:val="00DC6D5B"/>
    <w:rsid w:val="00DC7DCA"/>
    <w:rsid w:val="00DD0820"/>
    <w:rsid w:val="00DD0A82"/>
    <w:rsid w:val="00DD12AC"/>
    <w:rsid w:val="00DD1E13"/>
    <w:rsid w:val="00DD2452"/>
    <w:rsid w:val="00DD568B"/>
    <w:rsid w:val="00DD58C6"/>
    <w:rsid w:val="00DD60A3"/>
    <w:rsid w:val="00DD6703"/>
    <w:rsid w:val="00DD677F"/>
    <w:rsid w:val="00DD69C1"/>
    <w:rsid w:val="00DD7359"/>
    <w:rsid w:val="00DE0FBF"/>
    <w:rsid w:val="00DE16D9"/>
    <w:rsid w:val="00DE17B8"/>
    <w:rsid w:val="00DE3499"/>
    <w:rsid w:val="00DE3602"/>
    <w:rsid w:val="00DE4551"/>
    <w:rsid w:val="00DE4A43"/>
    <w:rsid w:val="00DE6280"/>
    <w:rsid w:val="00DE6404"/>
    <w:rsid w:val="00DE658B"/>
    <w:rsid w:val="00DE6A13"/>
    <w:rsid w:val="00DE7A2D"/>
    <w:rsid w:val="00DF1E96"/>
    <w:rsid w:val="00DF2008"/>
    <w:rsid w:val="00DF2DF3"/>
    <w:rsid w:val="00DF480F"/>
    <w:rsid w:val="00DF4B6E"/>
    <w:rsid w:val="00DF529D"/>
    <w:rsid w:val="00DF545C"/>
    <w:rsid w:val="00DF6091"/>
    <w:rsid w:val="00E0005A"/>
    <w:rsid w:val="00E0080D"/>
    <w:rsid w:val="00E00C76"/>
    <w:rsid w:val="00E01000"/>
    <w:rsid w:val="00E0107E"/>
    <w:rsid w:val="00E0138D"/>
    <w:rsid w:val="00E0145D"/>
    <w:rsid w:val="00E02135"/>
    <w:rsid w:val="00E02F9E"/>
    <w:rsid w:val="00E0425E"/>
    <w:rsid w:val="00E06DE3"/>
    <w:rsid w:val="00E06E8E"/>
    <w:rsid w:val="00E07F34"/>
    <w:rsid w:val="00E11189"/>
    <w:rsid w:val="00E11349"/>
    <w:rsid w:val="00E114BC"/>
    <w:rsid w:val="00E1201B"/>
    <w:rsid w:val="00E12E81"/>
    <w:rsid w:val="00E14CA9"/>
    <w:rsid w:val="00E153EF"/>
    <w:rsid w:val="00E20006"/>
    <w:rsid w:val="00E20116"/>
    <w:rsid w:val="00E20885"/>
    <w:rsid w:val="00E20F18"/>
    <w:rsid w:val="00E21217"/>
    <w:rsid w:val="00E21B5F"/>
    <w:rsid w:val="00E21C38"/>
    <w:rsid w:val="00E21CED"/>
    <w:rsid w:val="00E22639"/>
    <w:rsid w:val="00E23FB8"/>
    <w:rsid w:val="00E24375"/>
    <w:rsid w:val="00E24CC3"/>
    <w:rsid w:val="00E25CDA"/>
    <w:rsid w:val="00E26D7D"/>
    <w:rsid w:val="00E307C4"/>
    <w:rsid w:val="00E30F9B"/>
    <w:rsid w:val="00E31867"/>
    <w:rsid w:val="00E329ED"/>
    <w:rsid w:val="00E3346C"/>
    <w:rsid w:val="00E34D73"/>
    <w:rsid w:val="00E3619A"/>
    <w:rsid w:val="00E36308"/>
    <w:rsid w:val="00E3659F"/>
    <w:rsid w:val="00E367CD"/>
    <w:rsid w:val="00E36DD6"/>
    <w:rsid w:val="00E40CE1"/>
    <w:rsid w:val="00E41345"/>
    <w:rsid w:val="00E41E49"/>
    <w:rsid w:val="00E420FA"/>
    <w:rsid w:val="00E42618"/>
    <w:rsid w:val="00E42726"/>
    <w:rsid w:val="00E42CA2"/>
    <w:rsid w:val="00E4322C"/>
    <w:rsid w:val="00E43A05"/>
    <w:rsid w:val="00E43FD2"/>
    <w:rsid w:val="00E44B62"/>
    <w:rsid w:val="00E45AC4"/>
    <w:rsid w:val="00E46578"/>
    <w:rsid w:val="00E46885"/>
    <w:rsid w:val="00E46AC4"/>
    <w:rsid w:val="00E46FF3"/>
    <w:rsid w:val="00E47107"/>
    <w:rsid w:val="00E47407"/>
    <w:rsid w:val="00E50524"/>
    <w:rsid w:val="00E5080F"/>
    <w:rsid w:val="00E50869"/>
    <w:rsid w:val="00E50A41"/>
    <w:rsid w:val="00E528CA"/>
    <w:rsid w:val="00E53DD1"/>
    <w:rsid w:val="00E54039"/>
    <w:rsid w:val="00E54C31"/>
    <w:rsid w:val="00E550C4"/>
    <w:rsid w:val="00E55957"/>
    <w:rsid w:val="00E561D0"/>
    <w:rsid w:val="00E57E81"/>
    <w:rsid w:val="00E60235"/>
    <w:rsid w:val="00E60CFA"/>
    <w:rsid w:val="00E610E1"/>
    <w:rsid w:val="00E616E9"/>
    <w:rsid w:val="00E6285B"/>
    <w:rsid w:val="00E63808"/>
    <w:rsid w:val="00E657CC"/>
    <w:rsid w:val="00E65925"/>
    <w:rsid w:val="00E6736E"/>
    <w:rsid w:val="00E67529"/>
    <w:rsid w:val="00E701CC"/>
    <w:rsid w:val="00E7066C"/>
    <w:rsid w:val="00E70E83"/>
    <w:rsid w:val="00E70EA0"/>
    <w:rsid w:val="00E71E43"/>
    <w:rsid w:val="00E72221"/>
    <w:rsid w:val="00E7230B"/>
    <w:rsid w:val="00E74CBF"/>
    <w:rsid w:val="00E7508E"/>
    <w:rsid w:val="00E75957"/>
    <w:rsid w:val="00E8018F"/>
    <w:rsid w:val="00E824C7"/>
    <w:rsid w:val="00E82BEF"/>
    <w:rsid w:val="00E82FE6"/>
    <w:rsid w:val="00E8305E"/>
    <w:rsid w:val="00E84CE6"/>
    <w:rsid w:val="00E84FF5"/>
    <w:rsid w:val="00E8583E"/>
    <w:rsid w:val="00E8755C"/>
    <w:rsid w:val="00E87CA0"/>
    <w:rsid w:val="00E91C71"/>
    <w:rsid w:val="00E9232B"/>
    <w:rsid w:val="00E93179"/>
    <w:rsid w:val="00E93493"/>
    <w:rsid w:val="00E93600"/>
    <w:rsid w:val="00E941FF"/>
    <w:rsid w:val="00E942BF"/>
    <w:rsid w:val="00E951AF"/>
    <w:rsid w:val="00E96C11"/>
    <w:rsid w:val="00E97DCB"/>
    <w:rsid w:val="00EA00D6"/>
    <w:rsid w:val="00EA067B"/>
    <w:rsid w:val="00EA0DA2"/>
    <w:rsid w:val="00EA23CB"/>
    <w:rsid w:val="00EA250F"/>
    <w:rsid w:val="00EA281C"/>
    <w:rsid w:val="00EA356A"/>
    <w:rsid w:val="00EA380E"/>
    <w:rsid w:val="00EA391C"/>
    <w:rsid w:val="00EA493B"/>
    <w:rsid w:val="00EA52D9"/>
    <w:rsid w:val="00EA548F"/>
    <w:rsid w:val="00EA54C3"/>
    <w:rsid w:val="00EA60E8"/>
    <w:rsid w:val="00EA6DFE"/>
    <w:rsid w:val="00EA7832"/>
    <w:rsid w:val="00EB09B8"/>
    <w:rsid w:val="00EB1C8A"/>
    <w:rsid w:val="00EB21EC"/>
    <w:rsid w:val="00EB258E"/>
    <w:rsid w:val="00EB52D2"/>
    <w:rsid w:val="00EB652F"/>
    <w:rsid w:val="00EB7176"/>
    <w:rsid w:val="00EB7FF6"/>
    <w:rsid w:val="00EC0070"/>
    <w:rsid w:val="00EC0217"/>
    <w:rsid w:val="00EC046D"/>
    <w:rsid w:val="00EC09D1"/>
    <w:rsid w:val="00EC1BF8"/>
    <w:rsid w:val="00EC223A"/>
    <w:rsid w:val="00EC2F8E"/>
    <w:rsid w:val="00EC3148"/>
    <w:rsid w:val="00EC497B"/>
    <w:rsid w:val="00EC6666"/>
    <w:rsid w:val="00EC6F2A"/>
    <w:rsid w:val="00EC7067"/>
    <w:rsid w:val="00EC71A4"/>
    <w:rsid w:val="00EC7FDF"/>
    <w:rsid w:val="00ED1816"/>
    <w:rsid w:val="00ED1819"/>
    <w:rsid w:val="00ED1BBC"/>
    <w:rsid w:val="00ED2687"/>
    <w:rsid w:val="00ED2BFF"/>
    <w:rsid w:val="00ED3011"/>
    <w:rsid w:val="00ED3B18"/>
    <w:rsid w:val="00ED5B12"/>
    <w:rsid w:val="00EE07E3"/>
    <w:rsid w:val="00EE14DA"/>
    <w:rsid w:val="00EE1F48"/>
    <w:rsid w:val="00EE204C"/>
    <w:rsid w:val="00EE5691"/>
    <w:rsid w:val="00EE56AC"/>
    <w:rsid w:val="00EE6A16"/>
    <w:rsid w:val="00EE6EA8"/>
    <w:rsid w:val="00EE78D5"/>
    <w:rsid w:val="00EF0E33"/>
    <w:rsid w:val="00EF1297"/>
    <w:rsid w:val="00EF2FDF"/>
    <w:rsid w:val="00EF3BE6"/>
    <w:rsid w:val="00EF5EAF"/>
    <w:rsid w:val="00F005BF"/>
    <w:rsid w:val="00F00808"/>
    <w:rsid w:val="00F0086C"/>
    <w:rsid w:val="00F02090"/>
    <w:rsid w:val="00F02358"/>
    <w:rsid w:val="00F02908"/>
    <w:rsid w:val="00F064FA"/>
    <w:rsid w:val="00F0702C"/>
    <w:rsid w:val="00F070E9"/>
    <w:rsid w:val="00F07853"/>
    <w:rsid w:val="00F07914"/>
    <w:rsid w:val="00F1067C"/>
    <w:rsid w:val="00F1281F"/>
    <w:rsid w:val="00F12B44"/>
    <w:rsid w:val="00F12E79"/>
    <w:rsid w:val="00F14A96"/>
    <w:rsid w:val="00F15CF8"/>
    <w:rsid w:val="00F15DB2"/>
    <w:rsid w:val="00F165DC"/>
    <w:rsid w:val="00F166C0"/>
    <w:rsid w:val="00F16B7D"/>
    <w:rsid w:val="00F16FC0"/>
    <w:rsid w:val="00F170E1"/>
    <w:rsid w:val="00F20C22"/>
    <w:rsid w:val="00F21CF1"/>
    <w:rsid w:val="00F21F4D"/>
    <w:rsid w:val="00F23BD9"/>
    <w:rsid w:val="00F2496E"/>
    <w:rsid w:val="00F26BEF"/>
    <w:rsid w:val="00F272B8"/>
    <w:rsid w:val="00F27C19"/>
    <w:rsid w:val="00F27CEA"/>
    <w:rsid w:val="00F32AFE"/>
    <w:rsid w:val="00F33C4D"/>
    <w:rsid w:val="00F34F8D"/>
    <w:rsid w:val="00F37A62"/>
    <w:rsid w:val="00F4077D"/>
    <w:rsid w:val="00F4085C"/>
    <w:rsid w:val="00F412C6"/>
    <w:rsid w:val="00F42268"/>
    <w:rsid w:val="00F42479"/>
    <w:rsid w:val="00F42A89"/>
    <w:rsid w:val="00F42F4C"/>
    <w:rsid w:val="00F44B58"/>
    <w:rsid w:val="00F45D4E"/>
    <w:rsid w:val="00F45E7A"/>
    <w:rsid w:val="00F45F6C"/>
    <w:rsid w:val="00F4769E"/>
    <w:rsid w:val="00F51D50"/>
    <w:rsid w:val="00F51D83"/>
    <w:rsid w:val="00F5339E"/>
    <w:rsid w:val="00F53CE9"/>
    <w:rsid w:val="00F53FED"/>
    <w:rsid w:val="00F54D4C"/>
    <w:rsid w:val="00F56498"/>
    <w:rsid w:val="00F57696"/>
    <w:rsid w:val="00F57FE8"/>
    <w:rsid w:val="00F60C9A"/>
    <w:rsid w:val="00F60F0D"/>
    <w:rsid w:val="00F61486"/>
    <w:rsid w:val="00F62772"/>
    <w:rsid w:val="00F64518"/>
    <w:rsid w:val="00F65F22"/>
    <w:rsid w:val="00F66371"/>
    <w:rsid w:val="00F70169"/>
    <w:rsid w:val="00F705DA"/>
    <w:rsid w:val="00F70E79"/>
    <w:rsid w:val="00F72E5D"/>
    <w:rsid w:val="00F73747"/>
    <w:rsid w:val="00F74E8C"/>
    <w:rsid w:val="00F75989"/>
    <w:rsid w:val="00F75B4E"/>
    <w:rsid w:val="00F7673E"/>
    <w:rsid w:val="00F76C56"/>
    <w:rsid w:val="00F77CB2"/>
    <w:rsid w:val="00F803B7"/>
    <w:rsid w:val="00F80D19"/>
    <w:rsid w:val="00F80EB6"/>
    <w:rsid w:val="00F82157"/>
    <w:rsid w:val="00F82381"/>
    <w:rsid w:val="00F826E3"/>
    <w:rsid w:val="00F8334C"/>
    <w:rsid w:val="00F836BF"/>
    <w:rsid w:val="00F83DAD"/>
    <w:rsid w:val="00F842F4"/>
    <w:rsid w:val="00F84C25"/>
    <w:rsid w:val="00F84F55"/>
    <w:rsid w:val="00F85E92"/>
    <w:rsid w:val="00F8737D"/>
    <w:rsid w:val="00F90337"/>
    <w:rsid w:val="00F9069D"/>
    <w:rsid w:val="00F927DA"/>
    <w:rsid w:val="00F9281C"/>
    <w:rsid w:val="00F9309D"/>
    <w:rsid w:val="00F9366F"/>
    <w:rsid w:val="00F9378E"/>
    <w:rsid w:val="00F93869"/>
    <w:rsid w:val="00F93B2A"/>
    <w:rsid w:val="00F93F40"/>
    <w:rsid w:val="00F946C1"/>
    <w:rsid w:val="00F94DAB"/>
    <w:rsid w:val="00F95F50"/>
    <w:rsid w:val="00F9666D"/>
    <w:rsid w:val="00FA125F"/>
    <w:rsid w:val="00FA18EB"/>
    <w:rsid w:val="00FA2FDE"/>
    <w:rsid w:val="00FA3AC7"/>
    <w:rsid w:val="00FA41A1"/>
    <w:rsid w:val="00FA68D3"/>
    <w:rsid w:val="00FA735B"/>
    <w:rsid w:val="00FA797F"/>
    <w:rsid w:val="00FB08FA"/>
    <w:rsid w:val="00FB1086"/>
    <w:rsid w:val="00FB2A40"/>
    <w:rsid w:val="00FB2F1E"/>
    <w:rsid w:val="00FB33D7"/>
    <w:rsid w:val="00FB55BB"/>
    <w:rsid w:val="00FB6381"/>
    <w:rsid w:val="00FB70A5"/>
    <w:rsid w:val="00FB734F"/>
    <w:rsid w:val="00FC121E"/>
    <w:rsid w:val="00FC1BF0"/>
    <w:rsid w:val="00FC33DE"/>
    <w:rsid w:val="00FC3948"/>
    <w:rsid w:val="00FC56DA"/>
    <w:rsid w:val="00FC7F31"/>
    <w:rsid w:val="00FD0474"/>
    <w:rsid w:val="00FD0B2D"/>
    <w:rsid w:val="00FD0BC2"/>
    <w:rsid w:val="00FD25DE"/>
    <w:rsid w:val="00FD2C48"/>
    <w:rsid w:val="00FD5345"/>
    <w:rsid w:val="00FD7665"/>
    <w:rsid w:val="00FE0D18"/>
    <w:rsid w:val="00FE107E"/>
    <w:rsid w:val="00FE12D5"/>
    <w:rsid w:val="00FE3ADF"/>
    <w:rsid w:val="00FE3F70"/>
    <w:rsid w:val="00FE4C5E"/>
    <w:rsid w:val="00FE5D82"/>
    <w:rsid w:val="00FE6E5D"/>
    <w:rsid w:val="00FE6FCC"/>
    <w:rsid w:val="00FF1005"/>
    <w:rsid w:val="00FF12A8"/>
    <w:rsid w:val="00FF1614"/>
    <w:rsid w:val="00FF1801"/>
    <w:rsid w:val="00FF192C"/>
    <w:rsid w:val="00FF1FE1"/>
    <w:rsid w:val="00FF346E"/>
    <w:rsid w:val="00FF35C4"/>
    <w:rsid w:val="00FF472F"/>
    <w:rsid w:val="00FF5700"/>
    <w:rsid w:val="00FF6011"/>
    <w:rsid w:val="00FF6856"/>
    <w:rsid w:val="00FF6BBE"/>
    <w:rsid w:val="00FF6EC9"/>
    <w:rsid w:val="00FF6F59"/>
    <w:rsid w:val="00FF70A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0" w:unhideWhenUsed="0" w:qFormat="1"/>
    <w:lsdException w:name="footnote reference" w:uiPriority="0"/>
    <w:lsdException w:name="page number" w:uiPriority="0"/>
    <w:lsdException w:name="macro" w:uiPriority="0"/>
    <w:lsdException w:name="toa heading" w:uiPriority="0"/>
    <w:lsdException w:name="Title" w:semiHidden="0" w:uiPriority="0" w:unhideWhenUsed="0" w:qFormat="1"/>
    <w:lsdException w:name="Default Paragraph Font" w:uiPriority="1"/>
    <w:lsdException w:name="Body Text" w:uiPriority="0"/>
    <w:lsdException w:name="Subtitle" w:qFormat="1"/>
    <w:lsdException w:name="Body Text 2" w:uiPriority="0"/>
    <w:lsdException w:name="Body Text 3" w:uiPriority="0"/>
    <w:lsdException w:name="Block Text" w:uiPriority="0"/>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9B1F44"/>
    <w:pPr>
      <w:spacing w:before="120" w:after="120" w:line="276" w:lineRule="auto"/>
    </w:pPr>
    <w:rPr>
      <w:rFonts w:ascii="Arial" w:hAnsi="Arial"/>
      <w:sz w:val="22"/>
      <w:szCs w:val="22"/>
    </w:rPr>
  </w:style>
  <w:style w:type="paragraph" w:styleId="Heading1">
    <w:name w:val="heading 1"/>
    <w:basedOn w:val="Normal"/>
    <w:next w:val="Normal"/>
    <w:link w:val="Heading1Char"/>
    <w:qFormat/>
    <w:rsid w:val="006312AD"/>
    <w:pPr>
      <w:keepNext/>
      <w:keepLines/>
      <w:pageBreakBefore/>
      <w:numPr>
        <w:numId w:val="4"/>
      </w:numPr>
      <w:pBdr>
        <w:bottom w:val="single" w:sz="12" w:space="1" w:color="AFAFAF" w:themeColor="accent1"/>
      </w:pBdr>
      <w:spacing w:after="40" w:line="240" w:lineRule="auto"/>
      <w:outlineLvl w:val="0"/>
    </w:pPr>
    <w:rPr>
      <w:rFonts w:ascii="Arial Narrow" w:eastAsiaTheme="majorEastAsia" w:hAnsi="Arial Narrow" w:cstheme="majorBidi"/>
      <w:b/>
      <w:bCs/>
      <w:color w:val="005A9B" w:themeColor="background2"/>
      <w:sz w:val="44"/>
      <w:szCs w:val="28"/>
    </w:rPr>
  </w:style>
  <w:style w:type="paragraph" w:styleId="Heading2">
    <w:name w:val="heading 2"/>
    <w:basedOn w:val="Normal"/>
    <w:next w:val="Normal"/>
    <w:link w:val="Heading2Char"/>
    <w:qFormat/>
    <w:rsid w:val="006312AD"/>
    <w:pPr>
      <w:numPr>
        <w:ilvl w:val="1"/>
        <w:numId w:val="4"/>
      </w:numPr>
      <w:pBdr>
        <w:bottom w:val="single" w:sz="8" w:space="1" w:color="AFAFAF" w:themeColor="accent1"/>
      </w:pBdr>
      <w:spacing w:line="240" w:lineRule="auto"/>
      <w:outlineLvl w:val="1"/>
    </w:pPr>
    <w:rPr>
      <w:rFonts w:ascii="Arial Narrow" w:hAnsi="Arial Narrow" w:cstheme="majorBidi"/>
      <w:b/>
      <w:color w:val="005A9B" w:themeColor="background2"/>
      <w:sz w:val="32"/>
    </w:rPr>
  </w:style>
  <w:style w:type="paragraph" w:styleId="Heading3">
    <w:name w:val="heading 3"/>
    <w:basedOn w:val="Normal"/>
    <w:next w:val="Normal"/>
    <w:link w:val="Heading3Char"/>
    <w:qFormat/>
    <w:rsid w:val="006312AD"/>
    <w:pPr>
      <w:keepNext/>
      <w:keepLines/>
      <w:numPr>
        <w:ilvl w:val="2"/>
        <w:numId w:val="4"/>
      </w:numPr>
      <w:pBdr>
        <w:bottom w:val="single" w:sz="6" w:space="1" w:color="AFAFAF" w:themeColor="accent1"/>
      </w:pBdr>
      <w:spacing w:after="40"/>
      <w:outlineLvl w:val="2"/>
    </w:pPr>
    <w:rPr>
      <w:rFonts w:ascii="Arial Narrow" w:eastAsiaTheme="majorEastAsia" w:hAnsi="Arial Narrow" w:cstheme="majorBidi"/>
      <w:b/>
      <w:bCs/>
      <w:color w:val="005A9B" w:themeColor="background2"/>
      <w:sz w:val="28"/>
      <w:szCs w:val="20"/>
    </w:rPr>
  </w:style>
  <w:style w:type="paragraph" w:styleId="Heading4">
    <w:name w:val="heading 4"/>
    <w:basedOn w:val="Normal"/>
    <w:next w:val="Normal"/>
    <w:link w:val="Heading4Char"/>
    <w:qFormat/>
    <w:rsid w:val="006312AD"/>
    <w:pPr>
      <w:keepNext/>
      <w:keepLines/>
      <w:numPr>
        <w:ilvl w:val="3"/>
        <w:numId w:val="4"/>
      </w:numPr>
      <w:pBdr>
        <w:bottom w:val="single" w:sz="6" w:space="1" w:color="AFAFAF" w:themeColor="accent1"/>
      </w:pBdr>
      <w:spacing w:after="40" w:line="240" w:lineRule="auto"/>
      <w:outlineLvl w:val="3"/>
    </w:pPr>
    <w:rPr>
      <w:rFonts w:eastAsiaTheme="majorEastAsia" w:cstheme="majorBidi"/>
      <w:b/>
      <w:bCs/>
      <w:i/>
      <w:iCs/>
      <w:color w:val="005A9B" w:themeColor="background2"/>
      <w:sz w:val="24"/>
      <w:szCs w:val="20"/>
    </w:rPr>
  </w:style>
  <w:style w:type="paragraph" w:styleId="Heading5">
    <w:name w:val="heading 5"/>
    <w:basedOn w:val="Heading4"/>
    <w:next w:val="Normal"/>
    <w:link w:val="Heading5Char"/>
    <w:semiHidden/>
    <w:qFormat/>
    <w:rsid w:val="008220D8"/>
    <w:pPr>
      <w:numPr>
        <w:ilvl w:val="0"/>
        <w:numId w:val="0"/>
      </w:numPr>
      <w:spacing w:after="0"/>
      <w:outlineLvl w:val="4"/>
    </w:pPr>
    <w:rPr>
      <w:rFonts w:asciiTheme="majorHAnsi" w:hAnsiTheme="majorHAnsi"/>
      <w:bCs w:val="0"/>
      <w:i w:val="0"/>
      <w:iCs w:val="0"/>
      <w:color w:val="575757" w:themeColor="accent1" w:themeShade="7F"/>
      <w:szCs w:val="22"/>
    </w:rPr>
  </w:style>
  <w:style w:type="paragraph" w:styleId="Heading6">
    <w:name w:val="heading 6"/>
    <w:aliases w:val="appendices"/>
    <w:basedOn w:val="Normal"/>
    <w:next w:val="Normal"/>
    <w:link w:val="Heading6Char"/>
    <w:qFormat/>
    <w:rsid w:val="006312AD"/>
    <w:pPr>
      <w:pageBreakBefore/>
      <w:numPr>
        <w:ilvl w:val="5"/>
        <w:numId w:val="4"/>
      </w:numPr>
      <w:pBdr>
        <w:bottom w:val="single" w:sz="8" w:space="1" w:color="AFAFAF" w:themeColor="accent1"/>
      </w:pBdr>
      <w:spacing w:after="40" w:line="240" w:lineRule="auto"/>
      <w:outlineLvl w:val="5"/>
    </w:pPr>
    <w:rPr>
      <w:rFonts w:ascii="Arial Narrow" w:eastAsiaTheme="majorEastAsia" w:hAnsi="Arial Narrow" w:cstheme="majorBidi"/>
      <w:b/>
      <w:bCs/>
      <w:color w:val="005A9B" w:themeColor="background2"/>
      <w:sz w:val="36"/>
      <w:szCs w:val="28"/>
    </w:rPr>
  </w:style>
  <w:style w:type="paragraph" w:styleId="Heading7">
    <w:name w:val="heading 7"/>
    <w:aliases w:val="apx subsection"/>
    <w:basedOn w:val="Normal"/>
    <w:next w:val="Normal"/>
    <w:link w:val="Heading7Char"/>
    <w:qFormat/>
    <w:rsid w:val="006312AD"/>
    <w:pPr>
      <w:numPr>
        <w:ilvl w:val="6"/>
        <w:numId w:val="4"/>
      </w:numPr>
      <w:pBdr>
        <w:bottom w:val="single" w:sz="6" w:space="1" w:color="AFAFAF" w:themeColor="accent1"/>
      </w:pBdr>
      <w:spacing w:before="200" w:after="40" w:line="240" w:lineRule="auto"/>
      <w:outlineLvl w:val="6"/>
    </w:pPr>
    <w:rPr>
      <w:rFonts w:ascii="Arial Narrow" w:hAnsi="Arial Narrow" w:cstheme="majorBidi"/>
      <w:b/>
      <w:color w:val="005A9B" w:themeColor="background2"/>
      <w:sz w:val="32"/>
    </w:rPr>
  </w:style>
  <w:style w:type="paragraph" w:styleId="Heading8">
    <w:name w:val="heading 8"/>
    <w:basedOn w:val="Normal"/>
    <w:next w:val="Normal"/>
    <w:link w:val="Heading8Char"/>
    <w:uiPriority w:val="9"/>
    <w:semiHidden/>
    <w:rsid w:val="00006122"/>
    <w:pPr>
      <w:numPr>
        <w:ilvl w:val="2"/>
        <w:numId w:val="1"/>
      </w:numPr>
      <w:pBdr>
        <w:bottom w:val="single" w:sz="6" w:space="1" w:color="AFAFAF" w:themeColor="accent1"/>
      </w:pBdr>
      <w:spacing w:before="200" w:after="40" w:line="240" w:lineRule="auto"/>
      <w:ind w:left="357" w:hanging="357"/>
      <w:outlineLvl w:val="7"/>
    </w:pPr>
    <w:rPr>
      <w:rFonts w:ascii="Arial Narrow" w:eastAsiaTheme="majorEastAsia" w:hAnsi="Arial Narrow" w:cstheme="majorBidi"/>
      <w:b/>
      <w:bCs/>
      <w:color w:val="005A9B" w:themeColor="background2"/>
      <w:sz w:val="28"/>
      <w:szCs w:val="20"/>
    </w:rPr>
  </w:style>
  <w:style w:type="paragraph" w:styleId="Heading9">
    <w:name w:val="heading 9"/>
    <w:basedOn w:val="Normal"/>
    <w:next w:val="Normal"/>
    <w:link w:val="Heading9Char"/>
    <w:uiPriority w:val="9"/>
    <w:semiHidden/>
    <w:unhideWhenUsed/>
    <w:qFormat/>
    <w:rsid w:val="008220D8"/>
    <w:pPr>
      <w:keepNext/>
      <w:keepLines/>
      <w:spacing w:before="200" w:after="0"/>
      <w:outlineLvl w:val="8"/>
    </w:pPr>
    <w:rPr>
      <w:rFonts w:ascii="Cambria" w:eastAsiaTheme="majorEastAsia" w:hAnsi="Cambria" w:cstheme="majorBid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12AD"/>
    <w:rPr>
      <w:rFonts w:ascii="Arial Narrow" w:eastAsiaTheme="majorEastAsia" w:hAnsi="Arial Narrow" w:cstheme="majorBidi"/>
      <w:b/>
      <w:bCs/>
      <w:color w:val="005A9B" w:themeColor="background2"/>
      <w:sz w:val="44"/>
      <w:szCs w:val="28"/>
    </w:rPr>
  </w:style>
  <w:style w:type="character" w:customStyle="1" w:styleId="Heading2Char">
    <w:name w:val="Heading 2 Char"/>
    <w:basedOn w:val="DefaultParagraphFont"/>
    <w:link w:val="Heading2"/>
    <w:rsid w:val="006312AD"/>
    <w:rPr>
      <w:rFonts w:ascii="Arial Narrow" w:hAnsi="Arial Narrow" w:cstheme="majorBidi"/>
      <w:b/>
      <w:color w:val="005A9B" w:themeColor="background2"/>
      <w:sz w:val="32"/>
      <w:szCs w:val="22"/>
    </w:rPr>
  </w:style>
  <w:style w:type="character" w:customStyle="1" w:styleId="Heading3Char">
    <w:name w:val="Heading 3 Char"/>
    <w:basedOn w:val="DefaultParagraphFont"/>
    <w:link w:val="Heading3"/>
    <w:rsid w:val="006312AD"/>
    <w:rPr>
      <w:rFonts w:ascii="Arial Narrow" w:eastAsiaTheme="majorEastAsia" w:hAnsi="Arial Narrow" w:cstheme="majorBidi"/>
      <w:b/>
      <w:bCs/>
      <w:color w:val="005A9B" w:themeColor="background2"/>
      <w:sz w:val="28"/>
    </w:rPr>
  </w:style>
  <w:style w:type="character" w:customStyle="1" w:styleId="Heading4Char">
    <w:name w:val="Heading 4 Char"/>
    <w:basedOn w:val="DefaultParagraphFont"/>
    <w:link w:val="Heading4"/>
    <w:rsid w:val="006312AD"/>
    <w:rPr>
      <w:rFonts w:ascii="Arial" w:eastAsiaTheme="majorEastAsia" w:hAnsi="Arial" w:cstheme="majorBidi"/>
      <w:b/>
      <w:bCs/>
      <w:i/>
      <w:iCs/>
      <w:color w:val="005A9B" w:themeColor="background2"/>
      <w:sz w:val="24"/>
    </w:rPr>
  </w:style>
  <w:style w:type="character" w:customStyle="1" w:styleId="Heading5Char">
    <w:name w:val="Heading 5 Char"/>
    <w:basedOn w:val="DefaultParagraphFont"/>
    <w:link w:val="Heading5"/>
    <w:semiHidden/>
    <w:rsid w:val="008220D8"/>
    <w:rPr>
      <w:rFonts w:asciiTheme="majorHAnsi" w:eastAsiaTheme="majorEastAsia" w:hAnsiTheme="majorHAnsi" w:cstheme="majorBidi"/>
      <w:b/>
      <w:color w:val="575757" w:themeColor="accent1" w:themeShade="7F"/>
      <w:sz w:val="24"/>
      <w:szCs w:val="22"/>
    </w:rPr>
  </w:style>
  <w:style w:type="character" w:customStyle="1" w:styleId="Heading6Char">
    <w:name w:val="Heading 6 Char"/>
    <w:aliases w:val="appendices Char"/>
    <w:basedOn w:val="DefaultParagraphFont"/>
    <w:link w:val="Heading6"/>
    <w:rsid w:val="006312AD"/>
    <w:rPr>
      <w:rFonts w:ascii="Arial Narrow" w:eastAsiaTheme="majorEastAsia" w:hAnsi="Arial Narrow" w:cstheme="majorBidi"/>
      <w:b/>
      <w:bCs/>
      <w:color w:val="005A9B" w:themeColor="background2"/>
      <w:sz w:val="36"/>
      <w:szCs w:val="28"/>
    </w:rPr>
  </w:style>
  <w:style w:type="character" w:customStyle="1" w:styleId="Heading7Char">
    <w:name w:val="Heading 7 Char"/>
    <w:aliases w:val="apx subsection Char"/>
    <w:basedOn w:val="DefaultParagraphFont"/>
    <w:link w:val="Heading7"/>
    <w:rsid w:val="006312AD"/>
    <w:rPr>
      <w:rFonts w:ascii="Arial Narrow" w:hAnsi="Arial Narrow" w:cstheme="majorBidi"/>
      <w:b/>
      <w:color w:val="005A9B" w:themeColor="background2"/>
      <w:sz w:val="32"/>
      <w:szCs w:val="22"/>
    </w:rPr>
  </w:style>
  <w:style w:type="character" w:customStyle="1" w:styleId="Heading8Char">
    <w:name w:val="Heading 8 Char"/>
    <w:basedOn w:val="DefaultParagraphFont"/>
    <w:link w:val="Heading8"/>
    <w:uiPriority w:val="9"/>
    <w:semiHidden/>
    <w:rsid w:val="00EC0217"/>
    <w:rPr>
      <w:rFonts w:ascii="Arial Narrow" w:eastAsiaTheme="majorEastAsia" w:hAnsi="Arial Narrow" w:cstheme="majorBidi"/>
      <w:b/>
      <w:bCs/>
      <w:color w:val="005A9B" w:themeColor="background2"/>
      <w:sz w:val="28"/>
    </w:rPr>
  </w:style>
  <w:style w:type="character" w:customStyle="1" w:styleId="Heading9Char">
    <w:name w:val="Heading 9 Char"/>
    <w:basedOn w:val="DefaultParagraphFont"/>
    <w:link w:val="Heading9"/>
    <w:uiPriority w:val="9"/>
    <w:semiHidden/>
    <w:rsid w:val="008220D8"/>
    <w:rPr>
      <w:rFonts w:ascii="Cambria" w:eastAsiaTheme="majorEastAsia" w:hAnsi="Cambria" w:cstheme="majorBidi"/>
      <w:i/>
      <w:iCs/>
      <w:color w:val="404040"/>
      <w:sz w:val="22"/>
    </w:rPr>
  </w:style>
  <w:style w:type="paragraph" w:styleId="BodyText">
    <w:name w:val="Body Text"/>
    <w:basedOn w:val="Normal"/>
    <w:link w:val="BodyTextChar"/>
    <w:semiHidden/>
    <w:rsid w:val="001431A5"/>
    <w:rPr>
      <w:lang w:eastAsia="en-GB"/>
    </w:rPr>
  </w:style>
  <w:style w:type="character" w:customStyle="1" w:styleId="BodyTextChar">
    <w:name w:val="Body Text Char"/>
    <w:basedOn w:val="DefaultParagraphFont"/>
    <w:link w:val="BodyText"/>
    <w:semiHidden/>
    <w:rsid w:val="001431A5"/>
    <w:rPr>
      <w:rFonts w:ascii="Arial" w:eastAsia="Times New Roman" w:hAnsi="Arial" w:cs="Times New Roman"/>
      <w:sz w:val="20"/>
      <w:szCs w:val="20"/>
      <w:lang w:eastAsia="en-GB"/>
    </w:rPr>
  </w:style>
  <w:style w:type="paragraph" w:styleId="BlockText">
    <w:name w:val="Block Text"/>
    <w:basedOn w:val="Normal"/>
    <w:semiHidden/>
    <w:rsid w:val="001431A5"/>
    <w:pPr>
      <w:ind w:left="1440" w:right="1440"/>
    </w:pPr>
  </w:style>
  <w:style w:type="paragraph" w:styleId="BodyText2">
    <w:name w:val="Body Text 2"/>
    <w:basedOn w:val="Normal"/>
    <w:link w:val="BodyText2Char"/>
    <w:semiHidden/>
    <w:rsid w:val="001431A5"/>
    <w:pPr>
      <w:tabs>
        <w:tab w:val="left" w:pos="709"/>
      </w:tabs>
    </w:pPr>
    <w:rPr>
      <w:rFonts w:cs="Times New Roman Mäori"/>
      <w:iCs/>
      <w:szCs w:val="24"/>
    </w:rPr>
  </w:style>
  <w:style w:type="character" w:customStyle="1" w:styleId="BodyText2Char">
    <w:name w:val="Body Text 2 Char"/>
    <w:basedOn w:val="DefaultParagraphFont"/>
    <w:link w:val="BodyText2"/>
    <w:semiHidden/>
    <w:rsid w:val="001431A5"/>
    <w:rPr>
      <w:rFonts w:ascii="Arial" w:eastAsia="Times New Roman" w:hAnsi="Arial" w:cs="Times New Roman Mäori"/>
      <w:iCs/>
      <w:sz w:val="24"/>
      <w:szCs w:val="24"/>
    </w:rPr>
  </w:style>
  <w:style w:type="character" w:styleId="Hyperlink">
    <w:name w:val="Hyperlink"/>
    <w:basedOn w:val="DefaultParagraphFont"/>
    <w:uiPriority w:val="99"/>
    <w:rsid w:val="00A753DE"/>
    <w:rPr>
      <w:color w:val="005A9B" w:themeColor="background2"/>
      <w:u w:val="single"/>
    </w:rPr>
  </w:style>
  <w:style w:type="paragraph" w:styleId="TOC1">
    <w:name w:val="toc 1"/>
    <w:basedOn w:val="Normal"/>
    <w:next w:val="Normal"/>
    <w:autoRedefine/>
    <w:uiPriority w:val="39"/>
    <w:rsid w:val="00E24CC3"/>
    <w:pPr>
      <w:tabs>
        <w:tab w:val="left" w:pos="1134"/>
        <w:tab w:val="right" w:leader="dot" w:pos="9498"/>
      </w:tabs>
      <w:spacing w:before="180" w:after="40"/>
    </w:pPr>
    <w:rPr>
      <w:rFonts w:cstheme="minorHAnsi"/>
      <w:b/>
      <w:bCs/>
      <w:iCs/>
      <w:noProof/>
      <w:szCs w:val="24"/>
    </w:rPr>
  </w:style>
  <w:style w:type="paragraph" w:styleId="TOC2">
    <w:name w:val="toc 2"/>
    <w:basedOn w:val="Normal"/>
    <w:next w:val="Normal"/>
    <w:autoRedefine/>
    <w:uiPriority w:val="39"/>
    <w:rsid w:val="00E24CC3"/>
    <w:pPr>
      <w:tabs>
        <w:tab w:val="left" w:pos="1560"/>
        <w:tab w:val="right" w:leader="dot" w:pos="9498"/>
      </w:tabs>
      <w:spacing w:before="40" w:after="40"/>
      <w:ind w:firstLine="1134"/>
    </w:pPr>
    <w:rPr>
      <w:rFonts w:cstheme="minorHAnsi"/>
      <w:bCs/>
      <w:noProof/>
    </w:rPr>
  </w:style>
  <w:style w:type="paragraph" w:styleId="TOC3">
    <w:name w:val="toc 3"/>
    <w:basedOn w:val="Normal"/>
    <w:next w:val="Normal"/>
    <w:autoRedefine/>
    <w:uiPriority w:val="39"/>
    <w:rsid w:val="0030655D"/>
    <w:pPr>
      <w:tabs>
        <w:tab w:val="left" w:pos="2127"/>
        <w:tab w:val="right" w:leader="dot" w:pos="9498"/>
      </w:tabs>
      <w:spacing w:before="40" w:after="40"/>
      <w:ind w:firstLine="1531"/>
    </w:pPr>
    <w:rPr>
      <w:rFonts w:cstheme="minorHAnsi"/>
      <w:noProof/>
      <w:szCs w:val="20"/>
    </w:rPr>
  </w:style>
  <w:style w:type="character" w:styleId="FollowedHyperlink">
    <w:name w:val="FollowedHyperlink"/>
    <w:basedOn w:val="DefaultParagraphFont"/>
    <w:uiPriority w:val="99"/>
    <w:semiHidden/>
    <w:unhideWhenUsed/>
    <w:rsid w:val="00902063"/>
    <w:rPr>
      <w:color w:val="800080" w:themeColor="followedHyperlink"/>
      <w:u w:val="single"/>
    </w:rPr>
  </w:style>
  <w:style w:type="paragraph" w:styleId="Header">
    <w:name w:val="header"/>
    <w:basedOn w:val="Normal"/>
    <w:link w:val="HeaderChar"/>
    <w:semiHidden/>
    <w:rsid w:val="001431A5"/>
    <w:pPr>
      <w:tabs>
        <w:tab w:val="left" w:pos="709"/>
        <w:tab w:val="center" w:pos="4320"/>
        <w:tab w:val="right" w:pos="9360"/>
      </w:tabs>
    </w:pPr>
    <w:rPr>
      <w:rFonts w:eastAsia="Batang" w:cs="Arial"/>
      <w:szCs w:val="24"/>
      <w:lang w:val="en-AU"/>
    </w:rPr>
  </w:style>
  <w:style w:type="character" w:customStyle="1" w:styleId="HeaderChar">
    <w:name w:val="Header Char"/>
    <w:basedOn w:val="DefaultParagraphFont"/>
    <w:link w:val="Header"/>
    <w:semiHidden/>
    <w:rsid w:val="001431A5"/>
    <w:rPr>
      <w:rFonts w:ascii="Arial" w:eastAsia="Batang" w:hAnsi="Arial" w:cs="Arial"/>
      <w:sz w:val="20"/>
      <w:szCs w:val="24"/>
      <w:lang w:val="en-AU"/>
    </w:rPr>
  </w:style>
  <w:style w:type="paragraph" w:styleId="Footer">
    <w:name w:val="footer"/>
    <w:basedOn w:val="Normal"/>
    <w:link w:val="FooterChar"/>
    <w:semiHidden/>
    <w:rsid w:val="001431A5"/>
    <w:pPr>
      <w:tabs>
        <w:tab w:val="center" w:pos="4153"/>
        <w:tab w:val="right" w:pos="8306"/>
      </w:tabs>
    </w:pPr>
    <w:rPr>
      <w:rFonts w:ascii="Times New Roman" w:hAnsi="Times New Roman"/>
      <w:lang w:eastAsia="en-GB"/>
    </w:rPr>
  </w:style>
  <w:style w:type="character" w:customStyle="1" w:styleId="FooterChar">
    <w:name w:val="Footer Char"/>
    <w:basedOn w:val="DefaultParagraphFont"/>
    <w:link w:val="Footer"/>
    <w:semiHidden/>
    <w:rsid w:val="001431A5"/>
    <w:rPr>
      <w:rFonts w:ascii="Times New Roman" w:eastAsia="Times New Roman" w:hAnsi="Times New Roman" w:cs="Times New Roman"/>
      <w:sz w:val="24"/>
      <w:szCs w:val="20"/>
      <w:lang w:eastAsia="en-GB"/>
    </w:rPr>
  </w:style>
  <w:style w:type="paragraph" w:styleId="BodyText3">
    <w:name w:val="Body Text 3"/>
    <w:basedOn w:val="Normal"/>
    <w:link w:val="BodyText3Char"/>
    <w:semiHidden/>
    <w:rsid w:val="001431A5"/>
    <w:pPr>
      <w:tabs>
        <w:tab w:val="left" w:pos="8505"/>
      </w:tabs>
      <w:ind w:right="-51"/>
    </w:pPr>
    <w:rPr>
      <w:rFonts w:cs="Arial"/>
      <w:bCs/>
    </w:rPr>
  </w:style>
  <w:style w:type="character" w:customStyle="1" w:styleId="BodyText3Char">
    <w:name w:val="Body Text 3 Char"/>
    <w:basedOn w:val="DefaultParagraphFont"/>
    <w:link w:val="BodyText3"/>
    <w:semiHidden/>
    <w:rsid w:val="001431A5"/>
    <w:rPr>
      <w:rFonts w:ascii="Arial" w:eastAsia="Times New Roman" w:hAnsi="Arial" w:cs="Arial"/>
      <w:bCs/>
      <w:lang w:val="en-US"/>
    </w:rPr>
  </w:style>
  <w:style w:type="paragraph" w:styleId="TOAHeading">
    <w:name w:val="toa heading"/>
    <w:basedOn w:val="Normal"/>
    <w:next w:val="Normal"/>
    <w:semiHidden/>
    <w:rsid w:val="001431A5"/>
    <w:rPr>
      <w:b/>
      <w:bCs/>
      <w:szCs w:val="24"/>
    </w:rPr>
  </w:style>
  <w:style w:type="paragraph" w:styleId="MacroText">
    <w:name w:val="macro"/>
    <w:link w:val="MacroTextChar"/>
    <w:semiHidden/>
    <w:rsid w:val="001431A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eastAsia="Times New Roman" w:hAnsi="Courier New"/>
      <w:lang w:val="en-US"/>
    </w:rPr>
  </w:style>
  <w:style w:type="character" w:customStyle="1" w:styleId="MacroTextChar">
    <w:name w:val="Macro Text Char"/>
    <w:basedOn w:val="DefaultParagraphFont"/>
    <w:link w:val="MacroText"/>
    <w:semiHidden/>
    <w:rsid w:val="001431A5"/>
    <w:rPr>
      <w:rFonts w:ascii="Courier New" w:eastAsia="Times New Roman" w:hAnsi="Courier New" w:cs="Times New Roman"/>
      <w:sz w:val="20"/>
      <w:szCs w:val="20"/>
      <w:lang w:val="en-US"/>
    </w:rPr>
  </w:style>
  <w:style w:type="character" w:styleId="PageNumber">
    <w:name w:val="page number"/>
    <w:basedOn w:val="DefaultParagraphFont"/>
    <w:semiHidden/>
    <w:rsid w:val="001431A5"/>
    <w:rPr>
      <w:rFonts w:ascii="Arial Narrow" w:hAnsi="Arial Narrow"/>
      <w:sz w:val="20"/>
    </w:rPr>
  </w:style>
  <w:style w:type="paragraph" w:customStyle="1" w:styleId="MCDEMfooterodd">
    <w:name w:val="MCDEM footer odd"/>
    <w:basedOn w:val="Normal"/>
    <w:next w:val="Normal"/>
    <w:link w:val="MCDEMfooteroddChar"/>
    <w:rsid w:val="0038097B"/>
    <w:pPr>
      <w:tabs>
        <w:tab w:val="center" w:pos="4820"/>
      </w:tabs>
      <w:contextualSpacing/>
      <w:jc w:val="right"/>
    </w:pPr>
    <w:rPr>
      <w:b/>
      <w:color w:val="000000" w:themeColor="text1"/>
      <w:sz w:val="14"/>
      <w:szCs w:val="18"/>
    </w:rPr>
  </w:style>
  <w:style w:type="paragraph" w:styleId="BalloonText">
    <w:name w:val="Balloon Text"/>
    <w:basedOn w:val="Normal"/>
    <w:link w:val="BalloonTextChar"/>
    <w:uiPriority w:val="99"/>
    <w:semiHidden/>
    <w:unhideWhenUsed/>
    <w:rsid w:val="003C4DF1"/>
    <w:rPr>
      <w:rFonts w:ascii="Tahoma" w:hAnsi="Tahoma" w:cs="Tahoma"/>
      <w:sz w:val="16"/>
      <w:szCs w:val="16"/>
    </w:rPr>
  </w:style>
  <w:style w:type="character" w:customStyle="1" w:styleId="BalloonTextChar">
    <w:name w:val="Balloon Text Char"/>
    <w:basedOn w:val="DefaultParagraphFont"/>
    <w:link w:val="BalloonText"/>
    <w:uiPriority w:val="99"/>
    <w:semiHidden/>
    <w:rsid w:val="003C4DF1"/>
    <w:rPr>
      <w:rFonts w:ascii="Tahoma" w:eastAsia="Times New Roman" w:hAnsi="Tahoma" w:cs="Tahoma"/>
      <w:sz w:val="16"/>
      <w:szCs w:val="16"/>
      <w:lang w:val="en-US"/>
    </w:rPr>
  </w:style>
  <w:style w:type="paragraph" w:customStyle="1" w:styleId="Spacer">
    <w:name w:val="Spacer"/>
    <w:basedOn w:val="Normal"/>
    <w:qFormat/>
    <w:rsid w:val="008220D8"/>
    <w:pPr>
      <w:spacing w:before="0" w:after="0" w:line="240" w:lineRule="auto"/>
    </w:pPr>
    <w:rPr>
      <w:sz w:val="16"/>
    </w:rPr>
  </w:style>
  <w:style w:type="paragraph" w:customStyle="1" w:styleId="LHcolumn">
    <w:name w:val="LH column"/>
    <w:basedOn w:val="Normal"/>
    <w:qFormat/>
    <w:rsid w:val="008220D8"/>
    <w:rPr>
      <w:rFonts w:ascii="Arial Narrow" w:hAnsi="Arial Narrow"/>
      <w:b/>
      <w:color w:val="005A9B" w:themeColor="background2"/>
    </w:rPr>
  </w:style>
  <w:style w:type="paragraph" w:customStyle="1" w:styleId="Bullet">
    <w:name w:val="Bullet"/>
    <w:basedOn w:val="ListParagraph"/>
    <w:qFormat/>
    <w:rsid w:val="006217F1"/>
    <w:pPr>
      <w:numPr>
        <w:numId w:val="11"/>
      </w:numPr>
      <w:contextualSpacing w:val="0"/>
    </w:pPr>
  </w:style>
  <w:style w:type="paragraph" w:customStyle="1" w:styleId="Tablenormal0">
    <w:name w:val="Table normal"/>
    <w:basedOn w:val="Normal"/>
    <w:link w:val="TablenormalChar"/>
    <w:qFormat/>
    <w:rsid w:val="008220D8"/>
    <w:pPr>
      <w:spacing w:before="60" w:after="60" w:line="240" w:lineRule="auto"/>
    </w:pPr>
  </w:style>
  <w:style w:type="paragraph" w:customStyle="1" w:styleId="Tableheading">
    <w:name w:val="Table heading"/>
    <w:basedOn w:val="Normal"/>
    <w:qFormat/>
    <w:rsid w:val="008220D8"/>
    <w:pPr>
      <w:spacing w:before="60" w:after="60" w:line="240" w:lineRule="auto"/>
    </w:pPr>
    <w:rPr>
      <w:b/>
      <w:color w:val="FFFFFF"/>
    </w:rPr>
  </w:style>
  <w:style w:type="paragraph" w:customStyle="1" w:styleId="Figuresource">
    <w:name w:val="Figure source"/>
    <w:basedOn w:val="Figuretitle"/>
    <w:next w:val="Normal"/>
    <w:uiPriority w:val="99"/>
    <w:semiHidden/>
    <w:qFormat/>
    <w:rsid w:val="008220D8"/>
    <w:rPr>
      <w:b w:val="0"/>
    </w:rPr>
  </w:style>
  <w:style w:type="paragraph" w:customStyle="1" w:styleId="NZFS2ndpageheader">
    <w:name w:val="NZFS 2nd page header"/>
    <w:basedOn w:val="Normal"/>
    <w:next w:val="Normal"/>
    <w:uiPriority w:val="99"/>
    <w:semiHidden/>
    <w:qFormat/>
    <w:rsid w:val="008220D8"/>
    <w:pPr>
      <w:pBdr>
        <w:bottom w:val="single" w:sz="8" w:space="1" w:color="7F7F7F"/>
      </w:pBdr>
      <w:tabs>
        <w:tab w:val="center" w:pos="4820"/>
      </w:tabs>
      <w:spacing w:after="0" w:line="240" w:lineRule="auto"/>
    </w:pPr>
    <w:rPr>
      <w:i/>
      <w:color w:val="7F7F7F"/>
      <w:sz w:val="18"/>
      <w:szCs w:val="18"/>
    </w:rPr>
  </w:style>
  <w:style w:type="paragraph" w:customStyle="1" w:styleId="Tablebullet">
    <w:name w:val="Table bullet"/>
    <w:basedOn w:val="Bullet"/>
    <w:qFormat/>
    <w:rsid w:val="008220D8"/>
    <w:pPr>
      <w:numPr>
        <w:numId w:val="5"/>
      </w:numPr>
      <w:spacing w:before="60" w:after="60" w:line="240" w:lineRule="auto"/>
    </w:pPr>
  </w:style>
  <w:style w:type="paragraph" w:customStyle="1" w:styleId="Legislationboxtitle">
    <w:name w:val="Legislation box title"/>
    <w:basedOn w:val="Normal"/>
    <w:next w:val="Normal"/>
    <w:link w:val="LegislationboxtitleChar"/>
    <w:qFormat/>
    <w:rsid w:val="008220D8"/>
    <w:pPr>
      <w:jc w:val="center"/>
    </w:pPr>
    <w:rPr>
      <w:b/>
      <w:sz w:val="20"/>
    </w:rPr>
  </w:style>
  <w:style w:type="character" w:customStyle="1" w:styleId="LegislationboxtitleChar">
    <w:name w:val="Legislation box title Char"/>
    <w:basedOn w:val="DefaultParagraphFont"/>
    <w:link w:val="Legislationboxtitle"/>
    <w:rsid w:val="008220D8"/>
    <w:rPr>
      <w:rFonts w:ascii="Arial" w:hAnsi="Arial"/>
      <w:b/>
      <w:szCs w:val="22"/>
    </w:rPr>
  </w:style>
  <w:style w:type="paragraph" w:customStyle="1" w:styleId="Tablenumbering">
    <w:name w:val="Table numbering"/>
    <w:basedOn w:val="Normal"/>
    <w:rsid w:val="00D511C2"/>
    <w:pPr>
      <w:numPr>
        <w:numId w:val="1"/>
      </w:numPr>
      <w:spacing w:before="60" w:after="60" w:line="240" w:lineRule="auto"/>
      <w:ind w:left="357" w:hanging="357"/>
      <w:contextualSpacing/>
    </w:pPr>
  </w:style>
  <w:style w:type="paragraph" w:customStyle="1" w:styleId="Tinyline">
    <w:name w:val="Tiny line"/>
    <w:basedOn w:val="Spacer"/>
    <w:qFormat/>
    <w:rsid w:val="008220D8"/>
    <w:rPr>
      <w:sz w:val="8"/>
    </w:rPr>
  </w:style>
  <w:style w:type="paragraph" w:styleId="Caption">
    <w:name w:val="caption"/>
    <w:basedOn w:val="Normal"/>
    <w:next w:val="Normal"/>
    <w:qFormat/>
    <w:rsid w:val="008220D8"/>
    <w:pPr>
      <w:spacing w:line="240" w:lineRule="auto"/>
      <w:jc w:val="center"/>
    </w:pPr>
    <w:rPr>
      <w:rFonts w:ascii="Arial Narrow" w:hAnsi="Arial Narrow"/>
      <w:b/>
      <w:bCs/>
      <w:szCs w:val="18"/>
    </w:rPr>
  </w:style>
  <w:style w:type="paragraph" w:styleId="Title">
    <w:name w:val="Title"/>
    <w:aliases w:val="front page"/>
    <w:basedOn w:val="Normal"/>
    <w:next w:val="Normal"/>
    <w:link w:val="TitleChar"/>
    <w:qFormat/>
    <w:rsid w:val="008220D8"/>
    <w:pPr>
      <w:spacing w:before="0" w:after="300" w:line="240" w:lineRule="auto"/>
      <w:contextualSpacing/>
    </w:pPr>
    <w:rPr>
      <w:rFonts w:eastAsiaTheme="majorEastAsia" w:cstheme="majorBidi"/>
      <w:color w:val="000000" w:themeColor="text1"/>
      <w:spacing w:val="5"/>
      <w:kern w:val="28"/>
      <w:sz w:val="52"/>
      <w:szCs w:val="52"/>
    </w:rPr>
  </w:style>
  <w:style w:type="character" w:customStyle="1" w:styleId="TitleChar">
    <w:name w:val="Title Char"/>
    <w:aliases w:val="front page Char"/>
    <w:basedOn w:val="DefaultParagraphFont"/>
    <w:link w:val="Title"/>
    <w:rsid w:val="008220D8"/>
    <w:rPr>
      <w:rFonts w:ascii="Arial" w:eastAsiaTheme="majorEastAsia" w:hAnsi="Arial" w:cstheme="majorBidi"/>
      <w:color w:val="000000" w:themeColor="text1"/>
      <w:spacing w:val="5"/>
      <w:kern w:val="28"/>
      <w:sz w:val="52"/>
      <w:szCs w:val="52"/>
    </w:rPr>
  </w:style>
  <w:style w:type="character" w:styleId="Strong">
    <w:name w:val="Strong"/>
    <w:uiPriority w:val="22"/>
    <w:semiHidden/>
    <w:qFormat/>
    <w:rsid w:val="008220D8"/>
    <w:rPr>
      <w:b/>
      <w:bCs/>
    </w:rPr>
  </w:style>
  <w:style w:type="character" w:styleId="SubtleEmphasis">
    <w:name w:val="Subtle Emphasis"/>
    <w:uiPriority w:val="19"/>
    <w:semiHidden/>
    <w:qFormat/>
    <w:rsid w:val="008220D8"/>
    <w:rPr>
      <w:i/>
      <w:iCs/>
      <w:color w:val="808080" w:themeColor="text1" w:themeTint="7F"/>
    </w:rPr>
  </w:style>
  <w:style w:type="character" w:styleId="SubtleReference">
    <w:name w:val="Subtle Reference"/>
    <w:uiPriority w:val="31"/>
    <w:semiHidden/>
    <w:qFormat/>
    <w:rsid w:val="008220D8"/>
    <w:rPr>
      <w:smallCaps/>
      <w:color w:val="9B2703" w:themeColor="accent2"/>
      <w:u w:val="single"/>
    </w:rPr>
  </w:style>
  <w:style w:type="paragraph" w:styleId="TOCHeading">
    <w:name w:val="TOC Heading"/>
    <w:basedOn w:val="Heading1"/>
    <w:next w:val="Normal"/>
    <w:uiPriority w:val="39"/>
    <w:semiHidden/>
    <w:unhideWhenUsed/>
    <w:qFormat/>
    <w:rsid w:val="008220D8"/>
    <w:pPr>
      <w:numPr>
        <w:numId w:val="0"/>
      </w:numPr>
      <w:spacing w:after="0"/>
      <w:outlineLvl w:val="9"/>
    </w:pPr>
    <w:rPr>
      <w:rFonts w:ascii="Cambria" w:hAnsi="Cambria"/>
      <w:color w:val="5F5F5F"/>
      <w:sz w:val="28"/>
    </w:rPr>
  </w:style>
  <w:style w:type="table" w:styleId="TableGrid">
    <w:name w:val="Table Grid"/>
    <w:basedOn w:val="TableNormal"/>
    <w:uiPriority w:val="59"/>
    <w:rsid w:val="00394F37"/>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forewordandcontents">
    <w:name w:val="Title foreword and contents"/>
    <w:basedOn w:val="Title"/>
    <w:next w:val="Normal"/>
    <w:qFormat/>
    <w:rsid w:val="008220D8"/>
    <w:pPr>
      <w:pageBreakBefore/>
      <w:pBdr>
        <w:bottom w:val="single" w:sz="8" w:space="0" w:color="AFAFAF" w:themeColor="accent1"/>
      </w:pBdr>
      <w:spacing w:before="200" w:after="40"/>
      <w:contextualSpacing w:val="0"/>
    </w:pPr>
    <w:rPr>
      <w:rFonts w:ascii="Arial Narrow" w:hAnsi="Arial Narrow"/>
      <w:b/>
      <w:color w:val="005A9B" w:themeColor="background2"/>
      <w:sz w:val="40"/>
    </w:rPr>
  </w:style>
  <w:style w:type="paragraph" w:customStyle="1" w:styleId="MCDEMheader">
    <w:name w:val="MCDEM header"/>
    <w:basedOn w:val="Normal"/>
    <w:qFormat/>
    <w:rsid w:val="008220D8"/>
    <w:pPr>
      <w:spacing w:before="0" w:after="0"/>
    </w:pPr>
    <w:rPr>
      <w:i/>
      <w:color w:val="838383" w:themeColor="accent1" w:themeShade="BF"/>
    </w:rPr>
  </w:style>
  <w:style w:type="paragraph" w:styleId="Subtitle">
    <w:name w:val="Subtitle"/>
    <w:basedOn w:val="Normal"/>
    <w:next w:val="Normal"/>
    <w:link w:val="SubtitleChar"/>
    <w:uiPriority w:val="99"/>
    <w:semiHidden/>
    <w:qFormat/>
    <w:rsid w:val="008220D8"/>
    <w:pPr>
      <w:numPr>
        <w:ilvl w:val="1"/>
      </w:numPr>
    </w:pPr>
    <w:rPr>
      <w:rFonts w:asciiTheme="majorHAnsi" w:eastAsiaTheme="majorEastAsia" w:hAnsiTheme="majorHAnsi" w:cstheme="majorBidi"/>
      <w:i/>
      <w:iCs/>
      <w:color w:val="AFAFAF" w:themeColor="accent1"/>
      <w:spacing w:val="15"/>
      <w:sz w:val="24"/>
      <w:szCs w:val="24"/>
    </w:rPr>
  </w:style>
  <w:style w:type="character" w:customStyle="1" w:styleId="SubtitleChar">
    <w:name w:val="Subtitle Char"/>
    <w:basedOn w:val="DefaultParagraphFont"/>
    <w:link w:val="Subtitle"/>
    <w:uiPriority w:val="99"/>
    <w:semiHidden/>
    <w:rsid w:val="008220D8"/>
    <w:rPr>
      <w:rFonts w:asciiTheme="majorHAnsi" w:eastAsiaTheme="majorEastAsia" w:hAnsiTheme="majorHAnsi" w:cstheme="majorBidi"/>
      <w:i/>
      <w:iCs/>
      <w:color w:val="AFAFAF" w:themeColor="accent1"/>
      <w:spacing w:val="15"/>
      <w:sz w:val="24"/>
      <w:szCs w:val="24"/>
    </w:rPr>
  </w:style>
  <w:style w:type="paragraph" w:styleId="IntenseQuote">
    <w:name w:val="Intense Quote"/>
    <w:basedOn w:val="Normal"/>
    <w:next w:val="Normal"/>
    <w:link w:val="IntenseQuoteChar"/>
    <w:uiPriority w:val="30"/>
    <w:semiHidden/>
    <w:qFormat/>
    <w:rsid w:val="008220D8"/>
    <w:pPr>
      <w:pBdr>
        <w:bottom w:val="single" w:sz="4" w:space="4" w:color="AFAFAF" w:themeColor="accent1"/>
      </w:pBdr>
      <w:spacing w:before="200" w:after="280"/>
      <w:ind w:left="936" w:right="936"/>
    </w:pPr>
    <w:rPr>
      <w:b/>
      <w:bCs/>
      <w:i/>
      <w:iCs/>
      <w:color w:val="AFAFAF" w:themeColor="accent1"/>
      <w:sz w:val="20"/>
    </w:rPr>
  </w:style>
  <w:style w:type="character" w:customStyle="1" w:styleId="IntenseQuoteChar">
    <w:name w:val="Intense Quote Char"/>
    <w:basedOn w:val="DefaultParagraphFont"/>
    <w:link w:val="IntenseQuote"/>
    <w:uiPriority w:val="30"/>
    <w:semiHidden/>
    <w:rsid w:val="008220D8"/>
    <w:rPr>
      <w:rFonts w:ascii="Arial" w:hAnsi="Arial"/>
      <w:b/>
      <w:bCs/>
      <w:i/>
      <w:iCs/>
      <w:color w:val="AFAFAF" w:themeColor="accent1"/>
      <w:szCs w:val="22"/>
    </w:rPr>
  </w:style>
  <w:style w:type="character" w:styleId="IntenseEmphasis">
    <w:name w:val="Intense Emphasis"/>
    <w:uiPriority w:val="21"/>
    <w:semiHidden/>
    <w:qFormat/>
    <w:rsid w:val="008220D8"/>
    <w:rPr>
      <w:b/>
      <w:bCs/>
      <w:i/>
      <w:iCs/>
      <w:color w:val="AFAFAF" w:themeColor="accent1"/>
    </w:rPr>
  </w:style>
  <w:style w:type="paragraph" w:customStyle="1" w:styleId="Crossreference">
    <w:name w:val="Cross reference"/>
    <w:basedOn w:val="Normal"/>
    <w:link w:val="CrossreferenceChar"/>
    <w:qFormat/>
    <w:rsid w:val="008220D8"/>
    <w:rPr>
      <w:i/>
      <w:color w:val="005A9B" w:themeColor="background2"/>
      <w:sz w:val="20"/>
      <w:u w:val="single"/>
    </w:rPr>
  </w:style>
  <w:style w:type="paragraph" w:styleId="TOC4">
    <w:name w:val="toc 4"/>
    <w:basedOn w:val="TOC2"/>
    <w:next w:val="Normal"/>
    <w:autoRedefine/>
    <w:uiPriority w:val="39"/>
    <w:rsid w:val="00E24CC3"/>
    <w:pPr>
      <w:ind w:firstLine="2127"/>
    </w:pPr>
  </w:style>
  <w:style w:type="paragraph" w:styleId="TOC5">
    <w:name w:val="toc 5"/>
    <w:basedOn w:val="TOC4"/>
    <w:next w:val="Normal"/>
    <w:autoRedefine/>
    <w:uiPriority w:val="39"/>
    <w:rsid w:val="00F82157"/>
    <w:pPr>
      <w:tabs>
        <w:tab w:val="clear" w:pos="1560"/>
        <w:tab w:val="left" w:pos="2410"/>
        <w:tab w:val="left" w:pos="2674"/>
      </w:tabs>
      <w:ind w:firstLine="1134"/>
    </w:pPr>
    <w:rPr>
      <w:u w:color="AFAFAF" w:themeColor="accent1"/>
    </w:rPr>
  </w:style>
  <w:style w:type="paragraph" w:styleId="TOC6">
    <w:name w:val="toc 6"/>
    <w:basedOn w:val="Normal"/>
    <w:next w:val="Normal"/>
    <w:autoRedefine/>
    <w:uiPriority w:val="39"/>
    <w:rsid w:val="00387A20"/>
    <w:pPr>
      <w:tabs>
        <w:tab w:val="left" w:pos="1276"/>
        <w:tab w:val="right" w:leader="dot" w:pos="9515"/>
      </w:tabs>
      <w:spacing w:before="40" w:after="40"/>
    </w:pPr>
    <w:rPr>
      <w:rFonts w:cstheme="minorHAnsi"/>
      <w:noProof/>
      <w:szCs w:val="20"/>
    </w:rPr>
  </w:style>
  <w:style w:type="paragraph" w:styleId="TOC7">
    <w:name w:val="toc 7"/>
    <w:basedOn w:val="Normal"/>
    <w:next w:val="Normal"/>
    <w:autoRedefine/>
    <w:uiPriority w:val="39"/>
    <w:rsid w:val="006312AD"/>
    <w:pPr>
      <w:tabs>
        <w:tab w:val="right" w:leader="dot" w:pos="9515"/>
      </w:tabs>
      <w:spacing w:before="40" w:after="40"/>
      <w:ind w:left="737"/>
    </w:pPr>
    <w:rPr>
      <w:rFonts w:cstheme="minorHAnsi"/>
      <w:szCs w:val="20"/>
    </w:rPr>
  </w:style>
  <w:style w:type="paragraph" w:styleId="TOC8">
    <w:name w:val="toc 8"/>
    <w:basedOn w:val="Normal"/>
    <w:next w:val="Normal"/>
    <w:autoRedefine/>
    <w:uiPriority w:val="39"/>
    <w:semiHidden/>
    <w:rsid w:val="00F2496E"/>
    <w:pPr>
      <w:spacing w:before="0" w:after="0"/>
      <w:ind w:left="1400"/>
    </w:pPr>
    <w:rPr>
      <w:rFonts w:asciiTheme="minorHAnsi" w:hAnsiTheme="minorHAnsi" w:cstheme="minorHAnsi"/>
      <w:szCs w:val="20"/>
    </w:rPr>
  </w:style>
  <w:style w:type="paragraph" w:styleId="TOC9">
    <w:name w:val="toc 9"/>
    <w:basedOn w:val="Normal"/>
    <w:next w:val="Normal"/>
    <w:autoRedefine/>
    <w:uiPriority w:val="39"/>
    <w:semiHidden/>
    <w:rsid w:val="00F2496E"/>
    <w:pPr>
      <w:spacing w:before="0" w:after="0"/>
      <w:ind w:left="1600"/>
    </w:pPr>
    <w:rPr>
      <w:rFonts w:asciiTheme="minorHAnsi" w:hAnsiTheme="minorHAnsi" w:cstheme="minorHAnsi"/>
      <w:szCs w:val="20"/>
    </w:rPr>
  </w:style>
  <w:style w:type="paragraph" w:customStyle="1" w:styleId="Referencetitle">
    <w:name w:val="Reference title"/>
    <w:basedOn w:val="Normal"/>
    <w:link w:val="ReferencetitleChar"/>
    <w:semiHidden/>
    <w:rsid w:val="00046744"/>
    <w:rPr>
      <w:i/>
    </w:rPr>
  </w:style>
  <w:style w:type="paragraph" w:styleId="ListParagraph">
    <w:name w:val="List Paragraph"/>
    <w:basedOn w:val="Normal"/>
    <w:uiPriority w:val="34"/>
    <w:qFormat/>
    <w:rsid w:val="00006122"/>
    <w:pPr>
      <w:ind w:left="720"/>
      <w:contextualSpacing/>
    </w:pPr>
  </w:style>
  <w:style w:type="paragraph" w:customStyle="1" w:styleId="Legalbullets">
    <w:name w:val="Legal bullets"/>
    <w:basedOn w:val="Normal"/>
    <w:uiPriority w:val="99"/>
    <w:semiHidden/>
    <w:qFormat/>
    <w:rsid w:val="008220D8"/>
    <w:pPr>
      <w:numPr>
        <w:numId w:val="6"/>
      </w:numPr>
      <w:spacing w:before="60" w:after="60"/>
    </w:pPr>
    <w:rPr>
      <w:sz w:val="20"/>
      <w:szCs w:val="20"/>
    </w:rPr>
  </w:style>
  <w:style w:type="paragraph" w:customStyle="1" w:styleId="Instruction">
    <w:name w:val="Instruction"/>
    <w:basedOn w:val="Tablenormal0"/>
    <w:qFormat/>
    <w:rsid w:val="008220D8"/>
    <w:rPr>
      <w:i/>
      <w:sz w:val="18"/>
    </w:rPr>
  </w:style>
  <w:style w:type="paragraph" w:styleId="NoSpacing">
    <w:name w:val="No Spacing"/>
    <w:basedOn w:val="Normal"/>
    <w:uiPriority w:val="1"/>
    <w:semiHidden/>
    <w:qFormat/>
    <w:rsid w:val="008220D8"/>
    <w:pPr>
      <w:spacing w:before="0" w:after="0" w:line="240" w:lineRule="auto"/>
    </w:pPr>
  </w:style>
  <w:style w:type="paragraph" w:styleId="Quote">
    <w:name w:val="Quote"/>
    <w:basedOn w:val="Normal"/>
    <w:next w:val="Normal"/>
    <w:link w:val="QuoteChar"/>
    <w:uiPriority w:val="29"/>
    <w:semiHidden/>
    <w:qFormat/>
    <w:rsid w:val="008220D8"/>
    <w:rPr>
      <w:i/>
      <w:iCs/>
      <w:color w:val="000000"/>
      <w:sz w:val="20"/>
      <w:szCs w:val="20"/>
    </w:rPr>
  </w:style>
  <w:style w:type="character" w:customStyle="1" w:styleId="QuoteChar">
    <w:name w:val="Quote Char"/>
    <w:basedOn w:val="DefaultParagraphFont"/>
    <w:link w:val="Quote"/>
    <w:uiPriority w:val="29"/>
    <w:semiHidden/>
    <w:rsid w:val="008220D8"/>
    <w:rPr>
      <w:rFonts w:ascii="Arial" w:hAnsi="Arial"/>
      <w:i/>
      <w:iCs/>
      <w:color w:val="000000"/>
    </w:rPr>
  </w:style>
  <w:style w:type="character" w:customStyle="1" w:styleId="ReferencetitleChar">
    <w:name w:val="Reference title Char"/>
    <w:basedOn w:val="DefaultParagraphFont"/>
    <w:link w:val="Referencetitle"/>
    <w:semiHidden/>
    <w:rsid w:val="008137BB"/>
    <w:rPr>
      <w:rFonts w:ascii="Arial" w:hAnsi="Arial"/>
      <w:i/>
      <w:szCs w:val="22"/>
    </w:rPr>
  </w:style>
  <w:style w:type="paragraph" w:styleId="NormalWeb">
    <w:name w:val="Normal (Web)"/>
    <w:basedOn w:val="Normal"/>
    <w:uiPriority w:val="99"/>
    <w:semiHidden/>
    <w:unhideWhenUsed/>
    <w:rsid w:val="009A6831"/>
    <w:rPr>
      <w:rFonts w:ascii="Times New Roman" w:hAnsi="Times New Roman"/>
      <w:sz w:val="24"/>
      <w:szCs w:val="24"/>
    </w:rPr>
  </w:style>
  <w:style w:type="paragraph" w:customStyle="1" w:styleId="Numbering">
    <w:name w:val="Numbering"/>
    <w:basedOn w:val="Normal"/>
    <w:qFormat/>
    <w:rsid w:val="008220D8"/>
    <w:pPr>
      <w:numPr>
        <w:numId w:val="7"/>
      </w:numPr>
      <w:spacing w:line="288" w:lineRule="auto"/>
      <w:contextualSpacing/>
    </w:pPr>
  </w:style>
  <w:style w:type="paragraph" w:customStyle="1" w:styleId="Legalsection">
    <w:name w:val="Legal section"/>
    <w:basedOn w:val="Normal"/>
    <w:next w:val="Normal"/>
    <w:qFormat/>
    <w:rsid w:val="008220D8"/>
    <w:pPr>
      <w:numPr>
        <w:numId w:val="8"/>
      </w:numPr>
      <w:spacing w:after="60"/>
    </w:pPr>
    <w:rPr>
      <w:b/>
    </w:rPr>
  </w:style>
  <w:style w:type="character" w:styleId="CommentReference">
    <w:name w:val="annotation reference"/>
    <w:basedOn w:val="DefaultParagraphFont"/>
    <w:uiPriority w:val="99"/>
    <w:semiHidden/>
    <w:unhideWhenUsed/>
    <w:rsid w:val="0078667F"/>
    <w:rPr>
      <w:sz w:val="16"/>
      <w:szCs w:val="16"/>
    </w:rPr>
  </w:style>
  <w:style w:type="paragraph" w:styleId="CommentText">
    <w:name w:val="annotation text"/>
    <w:basedOn w:val="Normal"/>
    <w:link w:val="CommentTextChar"/>
    <w:uiPriority w:val="99"/>
    <w:semiHidden/>
    <w:unhideWhenUsed/>
    <w:rsid w:val="0078667F"/>
    <w:pPr>
      <w:spacing w:line="240" w:lineRule="auto"/>
    </w:pPr>
    <w:rPr>
      <w:szCs w:val="20"/>
    </w:rPr>
  </w:style>
  <w:style w:type="character" w:customStyle="1" w:styleId="CommentTextChar">
    <w:name w:val="Comment Text Char"/>
    <w:basedOn w:val="DefaultParagraphFont"/>
    <w:link w:val="CommentText"/>
    <w:uiPriority w:val="99"/>
    <w:semiHidden/>
    <w:rsid w:val="0078667F"/>
    <w:rPr>
      <w:rFonts w:ascii="Arial" w:hAnsi="Arial"/>
    </w:rPr>
  </w:style>
  <w:style w:type="paragraph" w:styleId="CommentSubject">
    <w:name w:val="annotation subject"/>
    <w:basedOn w:val="CommentText"/>
    <w:next w:val="CommentText"/>
    <w:link w:val="CommentSubjectChar"/>
    <w:uiPriority w:val="99"/>
    <w:semiHidden/>
    <w:unhideWhenUsed/>
    <w:rsid w:val="0078667F"/>
    <w:rPr>
      <w:b/>
      <w:bCs/>
    </w:rPr>
  </w:style>
  <w:style w:type="character" w:customStyle="1" w:styleId="CommentSubjectChar">
    <w:name w:val="Comment Subject Char"/>
    <w:basedOn w:val="CommentTextChar"/>
    <w:link w:val="CommentSubject"/>
    <w:uiPriority w:val="99"/>
    <w:semiHidden/>
    <w:rsid w:val="0078667F"/>
    <w:rPr>
      <w:rFonts w:ascii="Arial" w:hAnsi="Arial"/>
      <w:b/>
      <w:bCs/>
    </w:rPr>
  </w:style>
  <w:style w:type="character" w:customStyle="1" w:styleId="CrossreferenceChar">
    <w:name w:val="Cross reference Char"/>
    <w:basedOn w:val="DefaultParagraphFont"/>
    <w:link w:val="Crossreference"/>
    <w:rsid w:val="008220D8"/>
    <w:rPr>
      <w:rFonts w:ascii="Arial" w:hAnsi="Arial"/>
      <w:i/>
      <w:color w:val="005A9B" w:themeColor="background2"/>
      <w:szCs w:val="22"/>
      <w:u w:val="single"/>
    </w:rPr>
  </w:style>
  <w:style w:type="paragraph" w:customStyle="1" w:styleId="Appendixcontents">
    <w:name w:val="Appendix contents"/>
    <w:basedOn w:val="TOC1"/>
    <w:uiPriority w:val="99"/>
    <w:semiHidden/>
    <w:qFormat/>
    <w:rsid w:val="008220D8"/>
    <w:pPr>
      <w:tabs>
        <w:tab w:val="clear" w:pos="1134"/>
        <w:tab w:val="left" w:pos="1276"/>
      </w:tabs>
    </w:pPr>
  </w:style>
  <w:style w:type="paragraph" w:customStyle="1" w:styleId="Paragraphspacer">
    <w:name w:val="Paragraph spacer"/>
    <w:basedOn w:val="Normal"/>
    <w:qFormat/>
    <w:rsid w:val="008220D8"/>
    <w:pPr>
      <w:spacing w:before="0" w:after="0" w:line="240" w:lineRule="auto"/>
    </w:pPr>
    <w:rPr>
      <w:sz w:val="24"/>
    </w:rPr>
  </w:style>
  <w:style w:type="paragraph" w:customStyle="1" w:styleId="Greytext">
    <w:name w:val="Greytext"/>
    <w:basedOn w:val="Tablenormal0"/>
    <w:next w:val="Normal"/>
    <w:link w:val="GreytextChar"/>
    <w:rsid w:val="00006122"/>
    <w:rPr>
      <w:i/>
      <w:color w:val="838383" w:themeColor="accent1" w:themeShade="BF"/>
    </w:rPr>
  </w:style>
  <w:style w:type="character" w:customStyle="1" w:styleId="TablenormalChar">
    <w:name w:val="Table normal Char"/>
    <w:basedOn w:val="DefaultParagraphFont"/>
    <w:link w:val="Tablenormal0"/>
    <w:rsid w:val="008220D8"/>
    <w:rPr>
      <w:rFonts w:ascii="Arial" w:hAnsi="Arial"/>
      <w:sz w:val="22"/>
      <w:szCs w:val="22"/>
    </w:rPr>
  </w:style>
  <w:style w:type="character" w:customStyle="1" w:styleId="GreytextChar">
    <w:name w:val="Greytext Char"/>
    <w:basedOn w:val="TablenormalChar"/>
    <w:link w:val="Greytext"/>
    <w:rsid w:val="00006122"/>
    <w:rPr>
      <w:rFonts w:ascii="Arial" w:hAnsi="Arial"/>
      <w:i/>
      <w:color w:val="838383" w:themeColor="accent1" w:themeShade="BF"/>
      <w:sz w:val="22"/>
      <w:szCs w:val="22"/>
    </w:rPr>
  </w:style>
  <w:style w:type="paragraph" w:customStyle="1" w:styleId="Redtext">
    <w:name w:val="Redtext"/>
    <w:basedOn w:val="Normal"/>
    <w:next w:val="Normal"/>
    <w:link w:val="RedtextChar"/>
    <w:rsid w:val="00006122"/>
    <w:pPr>
      <w:spacing w:before="20" w:after="20" w:line="240" w:lineRule="auto"/>
    </w:pPr>
    <w:rPr>
      <w:color w:val="9B2703" w:themeColor="accent2"/>
    </w:rPr>
  </w:style>
  <w:style w:type="paragraph" w:customStyle="1" w:styleId="Redtextbullets">
    <w:name w:val="Redtext bullets"/>
    <w:basedOn w:val="Redtext"/>
    <w:rsid w:val="00006122"/>
    <w:pPr>
      <w:numPr>
        <w:numId w:val="2"/>
      </w:numPr>
    </w:pPr>
  </w:style>
  <w:style w:type="character" w:customStyle="1" w:styleId="RedtextChar">
    <w:name w:val="Redtext Char"/>
    <w:basedOn w:val="DefaultParagraphFont"/>
    <w:link w:val="Redtext"/>
    <w:rsid w:val="00006122"/>
    <w:rPr>
      <w:rFonts w:ascii="Arial" w:hAnsi="Arial"/>
      <w:color w:val="9B2703" w:themeColor="accent2"/>
      <w:szCs w:val="22"/>
    </w:rPr>
  </w:style>
  <w:style w:type="paragraph" w:customStyle="1" w:styleId="Greytextbullet">
    <w:name w:val="Grey text bullet"/>
    <w:basedOn w:val="Greytext"/>
    <w:rsid w:val="00006122"/>
  </w:style>
  <w:style w:type="paragraph" w:customStyle="1" w:styleId="Greytextdoublebullet">
    <w:name w:val="Grey text double bullet"/>
    <w:basedOn w:val="Greytext"/>
    <w:rsid w:val="00006122"/>
    <w:pPr>
      <w:numPr>
        <w:ilvl w:val="1"/>
        <w:numId w:val="3"/>
      </w:numPr>
    </w:pPr>
  </w:style>
  <w:style w:type="paragraph" w:customStyle="1" w:styleId="MCDEMfootereven">
    <w:name w:val="MCDEM footer even"/>
    <w:basedOn w:val="MCDEMfooterodd"/>
    <w:link w:val="MCDEMfooterevenChar"/>
    <w:rsid w:val="00006122"/>
    <w:pPr>
      <w:spacing w:before="40"/>
      <w:jc w:val="left"/>
    </w:pPr>
  </w:style>
  <w:style w:type="character" w:customStyle="1" w:styleId="MCDEMfooteroddChar">
    <w:name w:val="MCDEM footer odd Char"/>
    <w:basedOn w:val="DefaultParagraphFont"/>
    <w:link w:val="MCDEMfooterodd"/>
    <w:rsid w:val="0038097B"/>
    <w:rPr>
      <w:rFonts w:ascii="Arial" w:hAnsi="Arial"/>
      <w:b/>
      <w:color w:val="000000" w:themeColor="text1"/>
      <w:sz w:val="14"/>
      <w:szCs w:val="18"/>
    </w:rPr>
  </w:style>
  <w:style w:type="character" w:customStyle="1" w:styleId="MCDEMfooterevenChar">
    <w:name w:val="MCDEM footer even Char"/>
    <w:basedOn w:val="MCDEMfooteroddChar"/>
    <w:link w:val="MCDEMfootereven"/>
    <w:rsid w:val="00006122"/>
    <w:rPr>
      <w:rFonts w:ascii="Arial" w:hAnsi="Arial"/>
      <w:b/>
      <w:color w:val="000000" w:themeColor="text1"/>
      <w:sz w:val="14"/>
      <w:szCs w:val="18"/>
    </w:rPr>
  </w:style>
  <w:style w:type="character" w:customStyle="1" w:styleId="MCDEMfooteroddcode">
    <w:name w:val="MCDEM footer odd code"/>
    <w:basedOn w:val="MCDEMfooteroddChar"/>
    <w:rsid w:val="00006122"/>
    <w:rPr>
      <w:rFonts w:ascii="Arial" w:hAnsi="Arial"/>
      <w:b w:val="0"/>
      <w:color w:val="000000" w:themeColor="text1"/>
      <w:sz w:val="14"/>
      <w:szCs w:val="18"/>
    </w:rPr>
  </w:style>
  <w:style w:type="character" w:customStyle="1" w:styleId="MCDEMfooterevencode">
    <w:name w:val="MCDEM footer even code"/>
    <w:basedOn w:val="MCDEMfooterevenChar"/>
    <w:rsid w:val="00006122"/>
    <w:rPr>
      <w:rFonts w:ascii="Arial" w:hAnsi="Arial"/>
      <w:b w:val="0"/>
      <w:i w:val="0"/>
      <w:color w:val="000000" w:themeColor="text1"/>
      <w:sz w:val="14"/>
      <w:szCs w:val="18"/>
    </w:rPr>
  </w:style>
  <w:style w:type="paragraph" w:customStyle="1" w:styleId="Titlefrontpagesecondline">
    <w:name w:val="Title front page second line"/>
    <w:basedOn w:val="Title"/>
    <w:qFormat/>
    <w:rsid w:val="008220D8"/>
    <w:rPr>
      <w:sz w:val="32"/>
    </w:rPr>
  </w:style>
  <w:style w:type="paragraph" w:customStyle="1" w:styleId="Insidecoverdocname">
    <w:name w:val="Inside cover doc name"/>
    <w:basedOn w:val="Normal"/>
    <w:qFormat/>
    <w:rsid w:val="008220D8"/>
    <w:pPr>
      <w:spacing w:after="0" w:line="240" w:lineRule="auto"/>
    </w:pPr>
    <w:rPr>
      <w:b/>
      <w:color w:val="005A9B" w:themeColor="background2"/>
      <w:sz w:val="24"/>
    </w:rPr>
  </w:style>
  <w:style w:type="paragraph" w:customStyle="1" w:styleId="Insidecoverdocname2">
    <w:name w:val="Inside cover doc name 2"/>
    <w:basedOn w:val="Insidecoverdocname"/>
    <w:qFormat/>
    <w:rsid w:val="008220D8"/>
    <w:pPr>
      <w:spacing w:before="0"/>
    </w:pPr>
    <w:rPr>
      <w:b w:val="0"/>
      <w:sz w:val="22"/>
    </w:rPr>
  </w:style>
  <w:style w:type="paragraph" w:customStyle="1" w:styleId="Insidecovernormal">
    <w:name w:val="Inside cover normal"/>
    <w:basedOn w:val="Normal"/>
    <w:qFormat/>
    <w:rsid w:val="008220D8"/>
    <w:pPr>
      <w:spacing w:before="0" w:after="0" w:line="240" w:lineRule="auto"/>
    </w:pPr>
  </w:style>
  <w:style w:type="paragraph" w:customStyle="1" w:styleId="Insidecoverdateandauthority">
    <w:name w:val="Inside cover date and authority"/>
    <w:basedOn w:val="Normal"/>
    <w:qFormat/>
    <w:rsid w:val="008220D8"/>
    <w:pPr>
      <w:spacing w:before="0" w:after="0" w:line="240" w:lineRule="auto"/>
    </w:pPr>
    <w:rPr>
      <w:b/>
    </w:rPr>
  </w:style>
  <w:style w:type="character" w:customStyle="1" w:styleId="MCDEMfooterpagenumber">
    <w:name w:val="MCDEM footer page number"/>
    <w:basedOn w:val="DefaultParagraphFont"/>
    <w:rsid w:val="00006122"/>
    <w:rPr>
      <w:rFonts w:ascii="Arial" w:hAnsi="Arial"/>
      <w:b/>
      <w:sz w:val="18"/>
    </w:rPr>
  </w:style>
  <w:style w:type="paragraph" w:customStyle="1" w:styleId="Tablenormaltasksheet">
    <w:name w:val="Table normal task sheet"/>
    <w:basedOn w:val="Tablenormal0"/>
    <w:rsid w:val="00F82157"/>
    <w:pPr>
      <w:jc w:val="center"/>
    </w:pPr>
    <w:rPr>
      <w:rFonts w:eastAsia="Times New Roman"/>
      <w:szCs w:val="20"/>
    </w:rPr>
  </w:style>
  <w:style w:type="paragraph" w:customStyle="1" w:styleId="Appendix">
    <w:name w:val="Appendix"/>
    <w:basedOn w:val="Normal"/>
    <w:next w:val="Normal"/>
    <w:uiPriority w:val="99"/>
    <w:semiHidden/>
    <w:qFormat/>
    <w:rsid w:val="008220D8"/>
    <w:pPr>
      <w:pageBreakBefore/>
      <w:pBdr>
        <w:bottom w:val="single" w:sz="12" w:space="1" w:color="AFAFAF" w:themeColor="accent1"/>
      </w:pBdr>
      <w:tabs>
        <w:tab w:val="left" w:pos="2127"/>
      </w:tabs>
      <w:spacing w:before="280" w:after="0" w:line="240" w:lineRule="auto"/>
      <w:contextualSpacing/>
    </w:pPr>
    <w:rPr>
      <w:rFonts w:ascii="Arial Narrow" w:hAnsi="Arial Narrow"/>
      <w:b/>
      <w:color w:val="005A9B" w:themeColor="background2"/>
      <w:sz w:val="36"/>
      <w:szCs w:val="36"/>
    </w:rPr>
  </w:style>
  <w:style w:type="paragraph" w:customStyle="1" w:styleId="Appendixsub1">
    <w:name w:val="Appendix sub1"/>
    <w:basedOn w:val="Normal"/>
    <w:uiPriority w:val="99"/>
    <w:semiHidden/>
    <w:qFormat/>
    <w:rsid w:val="008220D8"/>
    <w:pPr>
      <w:keepNext/>
      <w:keepLines/>
      <w:spacing w:before="200" w:line="240" w:lineRule="auto"/>
      <w:contextualSpacing/>
    </w:pPr>
    <w:rPr>
      <w:rFonts w:eastAsiaTheme="majorEastAsia" w:cstheme="majorBidi"/>
      <w:b/>
      <w:bCs/>
      <w:color w:val="005A9B" w:themeColor="background2"/>
      <w:sz w:val="24"/>
      <w:szCs w:val="20"/>
    </w:rPr>
  </w:style>
  <w:style w:type="paragraph" w:styleId="DocumentMap">
    <w:name w:val="Document Map"/>
    <w:basedOn w:val="Normal"/>
    <w:link w:val="DocumentMapChar"/>
    <w:uiPriority w:val="99"/>
    <w:semiHidden/>
    <w:unhideWhenUsed/>
    <w:rsid w:val="00A63212"/>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63212"/>
    <w:rPr>
      <w:rFonts w:ascii="Tahoma" w:hAnsi="Tahoma" w:cs="Tahoma"/>
      <w:sz w:val="16"/>
      <w:szCs w:val="16"/>
    </w:rPr>
  </w:style>
  <w:style w:type="paragraph" w:customStyle="1" w:styleId="Titleacknowledementsnopagebreak">
    <w:name w:val="Title acknowledements no page break"/>
    <w:basedOn w:val="Titleforewordandcontents"/>
    <w:next w:val="Normal"/>
    <w:rsid w:val="00006122"/>
    <w:pPr>
      <w:pageBreakBefore w:val="0"/>
    </w:pPr>
  </w:style>
  <w:style w:type="paragraph" w:customStyle="1" w:styleId="Appendixheading4">
    <w:name w:val="Appendix heading 4"/>
    <w:basedOn w:val="Normal"/>
    <w:uiPriority w:val="99"/>
    <w:semiHidden/>
    <w:rsid w:val="00001C5C"/>
    <w:rPr>
      <w:rFonts w:ascii="Arial Narrow" w:hAnsi="Arial Narrow"/>
      <w:b/>
      <w:i/>
      <w:color w:val="005A9B" w:themeColor="background2"/>
      <w:sz w:val="24"/>
    </w:rPr>
  </w:style>
  <w:style w:type="table" w:customStyle="1" w:styleId="TableGrid1">
    <w:name w:val="Table Grid1"/>
    <w:basedOn w:val="TableNormal"/>
    <w:next w:val="TableGrid"/>
    <w:uiPriority w:val="59"/>
    <w:rsid w:val="00501E65"/>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 title"/>
    <w:basedOn w:val="Normal"/>
    <w:uiPriority w:val="99"/>
    <w:semiHidden/>
    <w:qFormat/>
    <w:rsid w:val="008220D8"/>
    <w:pPr>
      <w:spacing w:after="0"/>
    </w:pPr>
    <w:rPr>
      <w:b/>
    </w:rPr>
  </w:style>
  <w:style w:type="paragraph" w:customStyle="1" w:styleId="Legalnumbering">
    <w:name w:val="Legal numbering"/>
    <w:basedOn w:val="Normal"/>
    <w:uiPriority w:val="99"/>
    <w:qFormat/>
    <w:rsid w:val="008220D8"/>
    <w:pPr>
      <w:numPr>
        <w:numId w:val="9"/>
      </w:numPr>
      <w:spacing w:before="60" w:after="60"/>
    </w:pPr>
    <w:rPr>
      <w:bCs/>
    </w:rPr>
  </w:style>
  <w:style w:type="paragraph" w:customStyle="1" w:styleId="Titlesubheadingsnotforcontents">
    <w:name w:val="Title sub headings not for contents"/>
    <w:basedOn w:val="Normal"/>
    <w:next w:val="Normal"/>
    <w:qFormat/>
    <w:rsid w:val="008220D8"/>
    <w:pPr>
      <w:pBdr>
        <w:bottom w:val="single" w:sz="6" w:space="1" w:color="AFAFAF" w:themeColor="accent1"/>
      </w:pBdr>
    </w:pPr>
    <w:rPr>
      <w:rFonts w:cstheme="majorBidi"/>
      <w:b/>
      <w:color w:val="005A9B" w:themeColor="background2"/>
      <w:sz w:val="28"/>
    </w:rPr>
  </w:style>
  <w:style w:type="character" w:styleId="Emphasis">
    <w:name w:val="Emphasis"/>
    <w:basedOn w:val="DefaultParagraphFont"/>
    <w:uiPriority w:val="20"/>
    <w:semiHidden/>
    <w:qFormat/>
    <w:rsid w:val="008220D8"/>
    <w:rPr>
      <w:i/>
      <w:iCs/>
    </w:rPr>
  </w:style>
  <w:style w:type="paragraph" w:customStyle="1" w:styleId="Title2">
    <w:name w:val="Title 2"/>
    <w:basedOn w:val="Title"/>
    <w:next w:val="Normal"/>
    <w:qFormat/>
    <w:rsid w:val="008220D8"/>
    <w:rPr>
      <w:sz w:val="32"/>
    </w:rPr>
  </w:style>
  <w:style w:type="paragraph" w:customStyle="1" w:styleId="Legalnumberingsection">
    <w:name w:val="Legal numbering section"/>
    <w:basedOn w:val="Normal"/>
    <w:uiPriority w:val="99"/>
    <w:qFormat/>
    <w:rsid w:val="00936414"/>
    <w:pPr>
      <w:numPr>
        <w:numId w:val="10"/>
      </w:numPr>
      <w:spacing w:line="271" w:lineRule="auto"/>
    </w:pPr>
    <w:rPr>
      <w:b/>
    </w:rPr>
  </w:style>
  <w:style w:type="paragraph" w:customStyle="1" w:styleId="Default">
    <w:name w:val="Default"/>
    <w:rsid w:val="0031293A"/>
    <w:pPr>
      <w:autoSpaceDE w:val="0"/>
      <w:autoSpaceDN w:val="0"/>
      <w:adjustRightInd w:val="0"/>
    </w:pPr>
    <w:rPr>
      <w:rFonts w:ascii="Arial" w:hAnsi="Arial" w:cs="Arial"/>
      <w:color w:val="000000"/>
      <w:sz w:val="24"/>
      <w:szCs w:val="24"/>
    </w:rPr>
  </w:style>
  <w:style w:type="paragraph" w:customStyle="1" w:styleId="Client1">
    <w:name w:val="Client1"/>
    <w:basedOn w:val="Normal"/>
    <w:link w:val="Client1Char"/>
    <w:rsid w:val="00994F31"/>
    <w:pPr>
      <w:widowControl w:val="0"/>
      <w:numPr>
        <w:numId w:val="12"/>
      </w:numPr>
      <w:suppressAutoHyphens/>
      <w:spacing w:before="480" w:after="240" w:line="240" w:lineRule="auto"/>
    </w:pPr>
    <w:rPr>
      <w:rFonts w:eastAsia="Times New Roman"/>
      <w:b/>
      <w:caps/>
      <w:sz w:val="24"/>
      <w:szCs w:val="24"/>
      <w:lang w:val="en-GB" w:eastAsia="ar-SA"/>
    </w:rPr>
  </w:style>
  <w:style w:type="paragraph" w:customStyle="1" w:styleId="Client2">
    <w:name w:val="Client2"/>
    <w:basedOn w:val="Normal"/>
    <w:rsid w:val="00994F31"/>
    <w:pPr>
      <w:widowControl w:val="0"/>
      <w:numPr>
        <w:ilvl w:val="1"/>
        <w:numId w:val="12"/>
      </w:numPr>
      <w:suppressAutoHyphens/>
      <w:spacing w:before="0" w:after="240" w:line="240" w:lineRule="auto"/>
    </w:pPr>
    <w:rPr>
      <w:rFonts w:eastAsia="Times New Roman"/>
      <w:b/>
      <w:sz w:val="24"/>
      <w:szCs w:val="20"/>
      <w:lang w:val="en-GB" w:eastAsia="ar-SA"/>
    </w:rPr>
  </w:style>
  <w:style w:type="paragraph" w:customStyle="1" w:styleId="Client3">
    <w:name w:val="Client3"/>
    <w:basedOn w:val="Client2"/>
    <w:rsid w:val="00994F31"/>
    <w:pPr>
      <w:numPr>
        <w:ilvl w:val="2"/>
      </w:numPr>
    </w:pPr>
    <w:rPr>
      <w:sz w:val="22"/>
    </w:rPr>
  </w:style>
  <w:style w:type="character" w:customStyle="1" w:styleId="Client1Char">
    <w:name w:val="Client1 Char"/>
    <w:link w:val="Client1"/>
    <w:rsid w:val="00994F31"/>
    <w:rPr>
      <w:rFonts w:ascii="Arial" w:eastAsia="Times New Roman" w:hAnsi="Arial"/>
      <w:b/>
      <w:caps/>
      <w:sz w:val="24"/>
      <w:szCs w:val="24"/>
      <w:lang w:val="en-GB" w:eastAsia="ar-SA"/>
    </w:rPr>
  </w:style>
  <w:style w:type="character" w:styleId="FootnoteReference">
    <w:name w:val="footnote reference"/>
    <w:rsid w:val="00994F31"/>
    <w:rPr>
      <w:vertAlign w:val="superscript"/>
    </w:rPr>
  </w:style>
  <w:style w:type="paragraph" w:styleId="FootnoteText">
    <w:name w:val="footnote text"/>
    <w:basedOn w:val="Normal"/>
    <w:link w:val="FootnoteTextChar"/>
    <w:semiHidden/>
    <w:rsid w:val="00994F31"/>
    <w:pPr>
      <w:suppressAutoHyphens/>
      <w:spacing w:before="0" w:after="0" w:line="240" w:lineRule="auto"/>
    </w:pPr>
    <w:rPr>
      <w:rFonts w:ascii="Times New Roman" w:eastAsia="Times New Roman" w:hAnsi="Times New Roman"/>
      <w:sz w:val="20"/>
      <w:szCs w:val="20"/>
      <w:lang w:val="en-GB" w:eastAsia="ar-SA"/>
    </w:rPr>
  </w:style>
  <w:style w:type="character" w:customStyle="1" w:styleId="FootnoteTextChar">
    <w:name w:val="Footnote Text Char"/>
    <w:basedOn w:val="DefaultParagraphFont"/>
    <w:link w:val="FootnoteText"/>
    <w:semiHidden/>
    <w:rsid w:val="00994F31"/>
    <w:rPr>
      <w:rFonts w:ascii="Times New Roman" w:eastAsia="Times New Roman" w:hAnsi="Times New Roman"/>
      <w:lang w:val="en-GB" w:eastAsia="ar-SA"/>
    </w:rPr>
  </w:style>
  <w:style w:type="character" w:customStyle="1" w:styleId="WW8Num68z0">
    <w:name w:val="WW8Num68z0"/>
    <w:rsid w:val="00B52CEB"/>
    <w:rPr>
      <w:rFonts w:ascii="Symbol" w:hAnsi="Symbol"/>
    </w:rPr>
  </w:style>
  <w:style w:type="paragraph" w:customStyle="1" w:styleId="Clientbody">
    <w:name w:val="Clientbody"/>
    <w:basedOn w:val="Normal"/>
    <w:link w:val="ClientbodyChar2"/>
    <w:rsid w:val="00B52CEB"/>
    <w:pPr>
      <w:widowControl w:val="0"/>
      <w:suppressAutoHyphens/>
      <w:spacing w:before="0" w:after="0" w:line="280" w:lineRule="atLeast"/>
      <w:jc w:val="both"/>
    </w:pPr>
    <w:rPr>
      <w:rFonts w:eastAsia="Times New Roman"/>
      <w:szCs w:val="24"/>
      <w:lang w:val="en-GB" w:eastAsia="ar-SA"/>
    </w:rPr>
  </w:style>
  <w:style w:type="character" w:customStyle="1" w:styleId="ClientbodyChar2">
    <w:name w:val="Clientbody Char2"/>
    <w:link w:val="Clientbody"/>
    <w:rsid w:val="00B52CEB"/>
    <w:rPr>
      <w:rFonts w:ascii="Arial" w:eastAsia="Times New Roman" w:hAnsi="Arial"/>
      <w:sz w:val="22"/>
      <w:szCs w:val="24"/>
      <w:lang w:val="en-GB" w:eastAsia="ar-SA"/>
    </w:rPr>
  </w:style>
  <w:style w:type="character" w:customStyle="1" w:styleId="WW8Num20z0">
    <w:name w:val="WW8Num20z0"/>
    <w:rsid w:val="0057135A"/>
    <w:rPr>
      <w:rFonts w:ascii="Symbol" w:hAnsi="Symbol"/>
    </w:rPr>
  </w:style>
  <w:style w:type="table" w:customStyle="1" w:styleId="TableGrid2">
    <w:name w:val="Table Grid2"/>
    <w:basedOn w:val="TableNormal"/>
    <w:next w:val="TableGrid"/>
    <w:uiPriority w:val="59"/>
    <w:rsid w:val="009B1F44"/>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Figure">
    <w:name w:val="Caption Figure"/>
    <w:next w:val="Normal"/>
    <w:link w:val="CaptionFigureChar"/>
    <w:qFormat/>
    <w:rsid w:val="006C5656"/>
    <w:pPr>
      <w:tabs>
        <w:tab w:val="left" w:pos="1134"/>
      </w:tabs>
      <w:spacing w:before="120" w:after="120"/>
      <w:jc w:val="both"/>
    </w:pPr>
    <w:rPr>
      <w:rFonts w:ascii="Arial" w:eastAsia="Times New Roman" w:hAnsi="Arial" w:cs="Arial"/>
      <w:bCs/>
      <w:kern w:val="32"/>
      <w:sz w:val="18"/>
      <w:szCs w:val="18"/>
      <w:lang w:eastAsia="en-AU"/>
    </w:rPr>
  </w:style>
  <w:style w:type="character" w:customStyle="1" w:styleId="CaptionFigureChar">
    <w:name w:val="Caption Figure Char"/>
    <w:link w:val="CaptionFigure"/>
    <w:rsid w:val="006C5656"/>
    <w:rPr>
      <w:rFonts w:ascii="Arial" w:eastAsia="Times New Roman" w:hAnsi="Arial" w:cs="Arial"/>
      <w:bCs/>
      <w:kern w:val="32"/>
      <w:sz w:val="18"/>
      <w:szCs w:val="18"/>
      <w:lang w:eastAsia="en-AU"/>
    </w:rPr>
  </w:style>
  <w:style w:type="paragraph" w:customStyle="1" w:styleId="Figures">
    <w:name w:val="Figures"/>
    <w:basedOn w:val="Normal"/>
    <w:next w:val="Normal"/>
    <w:rsid w:val="006C5656"/>
    <w:pPr>
      <w:keepNext/>
      <w:spacing w:before="220" w:after="0" w:line="240" w:lineRule="auto"/>
      <w:jc w:val="center"/>
    </w:pPr>
    <w:rPr>
      <w:rFonts w:eastAsia="Times New Roman"/>
      <w:lang w:eastAsia="en-AU"/>
    </w:rPr>
  </w:style>
  <w:style w:type="paragraph" w:customStyle="1" w:styleId="Figure">
    <w:name w:val="Figure"/>
    <w:basedOn w:val="Clientbody"/>
    <w:rsid w:val="00F16B7D"/>
    <w:pPr>
      <w:numPr>
        <w:numId w:val="37"/>
      </w:numPr>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0" w:unhideWhenUsed="0" w:qFormat="1"/>
    <w:lsdException w:name="footnote reference" w:uiPriority="0"/>
    <w:lsdException w:name="page number" w:uiPriority="0"/>
    <w:lsdException w:name="macro" w:uiPriority="0"/>
    <w:lsdException w:name="toa heading" w:uiPriority="0"/>
    <w:lsdException w:name="Title" w:semiHidden="0" w:uiPriority="0" w:unhideWhenUsed="0" w:qFormat="1"/>
    <w:lsdException w:name="Default Paragraph Font" w:uiPriority="1"/>
    <w:lsdException w:name="Body Text" w:uiPriority="0"/>
    <w:lsdException w:name="Subtitle" w:qFormat="1"/>
    <w:lsdException w:name="Body Text 2" w:uiPriority="0"/>
    <w:lsdException w:name="Body Text 3" w:uiPriority="0"/>
    <w:lsdException w:name="Block Text" w:uiPriority="0"/>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9B1F44"/>
    <w:pPr>
      <w:spacing w:before="120" w:after="120" w:line="276" w:lineRule="auto"/>
    </w:pPr>
    <w:rPr>
      <w:rFonts w:ascii="Arial" w:hAnsi="Arial"/>
      <w:sz w:val="22"/>
      <w:szCs w:val="22"/>
    </w:rPr>
  </w:style>
  <w:style w:type="paragraph" w:styleId="Heading1">
    <w:name w:val="heading 1"/>
    <w:basedOn w:val="Normal"/>
    <w:next w:val="Normal"/>
    <w:link w:val="Heading1Char"/>
    <w:qFormat/>
    <w:rsid w:val="006312AD"/>
    <w:pPr>
      <w:keepNext/>
      <w:keepLines/>
      <w:pageBreakBefore/>
      <w:numPr>
        <w:numId w:val="4"/>
      </w:numPr>
      <w:pBdr>
        <w:bottom w:val="single" w:sz="12" w:space="1" w:color="AFAFAF" w:themeColor="accent1"/>
      </w:pBdr>
      <w:spacing w:after="40" w:line="240" w:lineRule="auto"/>
      <w:outlineLvl w:val="0"/>
    </w:pPr>
    <w:rPr>
      <w:rFonts w:ascii="Arial Narrow" w:eastAsiaTheme="majorEastAsia" w:hAnsi="Arial Narrow" w:cstheme="majorBidi"/>
      <w:b/>
      <w:bCs/>
      <w:color w:val="005A9B" w:themeColor="background2"/>
      <w:sz w:val="44"/>
      <w:szCs w:val="28"/>
    </w:rPr>
  </w:style>
  <w:style w:type="paragraph" w:styleId="Heading2">
    <w:name w:val="heading 2"/>
    <w:basedOn w:val="Normal"/>
    <w:next w:val="Normal"/>
    <w:link w:val="Heading2Char"/>
    <w:qFormat/>
    <w:rsid w:val="006312AD"/>
    <w:pPr>
      <w:numPr>
        <w:ilvl w:val="1"/>
        <w:numId w:val="4"/>
      </w:numPr>
      <w:pBdr>
        <w:bottom w:val="single" w:sz="8" w:space="1" w:color="AFAFAF" w:themeColor="accent1"/>
      </w:pBdr>
      <w:spacing w:line="240" w:lineRule="auto"/>
      <w:outlineLvl w:val="1"/>
    </w:pPr>
    <w:rPr>
      <w:rFonts w:ascii="Arial Narrow" w:hAnsi="Arial Narrow" w:cstheme="majorBidi"/>
      <w:b/>
      <w:color w:val="005A9B" w:themeColor="background2"/>
      <w:sz w:val="32"/>
    </w:rPr>
  </w:style>
  <w:style w:type="paragraph" w:styleId="Heading3">
    <w:name w:val="heading 3"/>
    <w:basedOn w:val="Normal"/>
    <w:next w:val="Normal"/>
    <w:link w:val="Heading3Char"/>
    <w:qFormat/>
    <w:rsid w:val="006312AD"/>
    <w:pPr>
      <w:keepNext/>
      <w:keepLines/>
      <w:numPr>
        <w:ilvl w:val="2"/>
        <w:numId w:val="4"/>
      </w:numPr>
      <w:pBdr>
        <w:bottom w:val="single" w:sz="6" w:space="1" w:color="AFAFAF" w:themeColor="accent1"/>
      </w:pBdr>
      <w:spacing w:after="40"/>
      <w:outlineLvl w:val="2"/>
    </w:pPr>
    <w:rPr>
      <w:rFonts w:ascii="Arial Narrow" w:eastAsiaTheme="majorEastAsia" w:hAnsi="Arial Narrow" w:cstheme="majorBidi"/>
      <w:b/>
      <w:bCs/>
      <w:color w:val="005A9B" w:themeColor="background2"/>
      <w:sz w:val="28"/>
      <w:szCs w:val="20"/>
    </w:rPr>
  </w:style>
  <w:style w:type="paragraph" w:styleId="Heading4">
    <w:name w:val="heading 4"/>
    <w:basedOn w:val="Normal"/>
    <w:next w:val="Normal"/>
    <w:link w:val="Heading4Char"/>
    <w:qFormat/>
    <w:rsid w:val="006312AD"/>
    <w:pPr>
      <w:keepNext/>
      <w:keepLines/>
      <w:numPr>
        <w:ilvl w:val="3"/>
        <w:numId w:val="4"/>
      </w:numPr>
      <w:pBdr>
        <w:bottom w:val="single" w:sz="6" w:space="1" w:color="AFAFAF" w:themeColor="accent1"/>
      </w:pBdr>
      <w:spacing w:after="40" w:line="240" w:lineRule="auto"/>
      <w:outlineLvl w:val="3"/>
    </w:pPr>
    <w:rPr>
      <w:rFonts w:eastAsiaTheme="majorEastAsia" w:cstheme="majorBidi"/>
      <w:b/>
      <w:bCs/>
      <w:i/>
      <w:iCs/>
      <w:color w:val="005A9B" w:themeColor="background2"/>
      <w:sz w:val="24"/>
      <w:szCs w:val="20"/>
    </w:rPr>
  </w:style>
  <w:style w:type="paragraph" w:styleId="Heading5">
    <w:name w:val="heading 5"/>
    <w:basedOn w:val="Heading4"/>
    <w:next w:val="Normal"/>
    <w:link w:val="Heading5Char"/>
    <w:semiHidden/>
    <w:qFormat/>
    <w:rsid w:val="008220D8"/>
    <w:pPr>
      <w:numPr>
        <w:ilvl w:val="0"/>
        <w:numId w:val="0"/>
      </w:numPr>
      <w:spacing w:after="0"/>
      <w:outlineLvl w:val="4"/>
    </w:pPr>
    <w:rPr>
      <w:rFonts w:asciiTheme="majorHAnsi" w:hAnsiTheme="majorHAnsi"/>
      <w:bCs w:val="0"/>
      <w:i w:val="0"/>
      <w:iCs w:val="0"/>
      <w:color w:val="575757" w:themeColor="accent1" w:themeShade="7F"/>
      <w:szCs w:val="22"/>
    </w:rPr>
  </w:style>
  <w:style w:type="paragraph" w:styleId="Heading6">
    <w:name w:val="heading 6"/>
    <w:aliases w:val="appendices"/>
    <w:basedOn w:val="Normal"/>
    <w:next w:val="Normal"/>
    <w:link w:val="Heading6Char"/>
    <w:qFormat/>
    <w:rsid w:val="006312AD"/>
    <w:pPr>
      <w:pageBreakBefore/>
      <w:numPr>
        <w:ilvl w:val="5"/>
        <w:numId w:val="4"/>
      </w:numPr>
      <w:pBdr>
        <w:bottom w:val="single" w:sz="8" w:space="1" w:color="AFAFAF" w:themeColor="accent1"/>
      </w:pBdr>
      <w:spacing w:after="40" w:line="240" w:lineRule="auto"/>
      <w:outlineLvl w:val="5"/>
    </w:pPr>
    <w:rPr>
      <w:rFonts w:ascii="Arial Narrow" w:eastAsiaTheme="majorEastAsia" w:hAnsi="Arial Narrow" w:cstheme="majorBidi"/>
      <w:b/>
      <w:bCs/>
      <w:color w:val="005A9B" w:themeColor="background2"/>
      <w:sz w:val="36"/>
      <w:szCs w:val="28"/>
    </w:rPr>
  </w:style>
  <w:style w:type="paragraph" w:styleId="Heading7">
    <w:name w:val="heading 7"/>
    <w:aliases w:val="apx subsection"/>
    <w:basedOn w:val="Normal"/>
    <w:next w:val="Normal"/>
    <w:link w:val="Heading7Char"/>
    <w:qFormat/>
    <w:rsid w:val="006312AD"/>
    <w:pPr>
      <w:numPr>
        <w:ilvl w:val="6"/>
        <w:numId w:val="4"/>
      </w:numPr>
      <w:pBdr>
        <w:bottom w:val="single" w:sz="6" w:space="1" w:color="AFAFAF" w:themeColor="accent1"/>
      </w:pBdr>
      <w:spacing w:before="200" w:after="40" w:line="240" w:lineRule="auto"/>
      <w:outlineLvl w:val="6"/>
    </w:pPr>
    <w:rPr>
      <w:rFonts w:ascii="Arial Narrow" w:hAnsi="Arial Narrow" w:cstheme="majorBidi"/>
      <w:b/>
      <w:color w:val="005A9B" w:themeColor="background2"/>
      <w:sz w:val="32"/>
    </w:rPr>
  </w:style>
  <w:style w:type="paragraph" w:styleId="Heading8">
    <w:name w:val="heading 8"/>
    <w:basedOn w:val="Normal"/>
    <w:next w:val="Normal"/>
    <w:link w:val="Heading8Char"/>
    <w:uiPriority w:val="9"/>
    <w:semiHidden/>
    <w:rsid w:val="00006122"/>
    <w:pPr>
      <w:numPr>
        <w:ilvl w:val="2"/>
        <w:numId w:val="1"/>
      </w:numPr>
      <w:pBdr>
        <w:bottom w:val="single" w:sz="6" w:space="1" w:color="AFAFAF" w:themeColor="accent1"/>
      </w:pBdr>
      <w:spacing w:before="200" w:after="40" w:line="240" w:lineRule="auto"/>
      <w:ind w:left="357" w:hanging="357"/>
      <w:outlineLvl w:val="7"/>
    </w:pPr>
    <w:rPr>
      <w:rFonts w:ascii="Arial Narrow" w:eastAsiaTheme="majorEastAsia" w:hAnsi="Arial Narrow" w:cstheme="majorBidi"/>
      <w:b/>
      <w:bCs/>
      <w:color w:val="005A9B" w:themeColor="background2"/>
      <w:sz w:val="28"/>
      <w:szCs w:val="20"/>
    </w:rPr>
  </w:style>
  <w:style w:type="paragraph" w:styleId="Heading9">
    <w:name w:val="heading 9"/>
    <w:basedOn w:val="Normal"/>
    <w:next w:val="Normal"/>
    <w:link w:val="Heading9Char"/>
    <w:uiPriority w:val="9"/>
    <w:semiHidden/>
    <w:unhideWhenUsed/>
    <w:qFormat/>
    <w:rsid w:val="008220D8"/>
    <w:pPr>
      <w:keepNext/>
      <w:keepLines/>
      <w:spacing w:before="200" w:after="0"/>
      <w:outlineLvl w:val="8"/>
    </w:pPr>
    <w:rPr>
      <w:rFonts w:ascii="Cambria" w:eastAsiaTheme="majorEastAsia" w:hAnsi="Cambria" w:cstheme="majorBid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12AD"/>
    <w:rPr>
      <w:rFonts w:ascii="Arial Narrow" w:eastAsiaTheme="majorEastAsia" w:hAnsi="Arial Narrow" w:cstheme="majorBidi"/>
      <w:b/>
      <w:bCs/>
      <w:color w:val="005A9B" w:themeColor="background2"/>
      <w:sz w:val="44"/>
      <w:szCs w:val="28"/>
    </w:rPr>
  </w:style>
  <w:style w:type="character" w:customStyle="1" w:styleId="Heading2Char">
    <w:name w:val="Heading 2 Char"/>
    <w:basedOn w:val="DefaultParagraphFont"/>
    <w:link w:val="Heading2"/>
    <w:rsid w:val="006312AD"/>
    <w:rPr>
      <w:rFonts w:ascii="Arial Narrow" w:hAnsi="Arial Narrow" w:cstheme="majorBidi"/>
      <w:b/>
      <w:color w:val="005A9B" w:themeColor="background2"/>
      <w:sz w:val="32"/>
      <w:szCs w:val="22"/>
    </w:rPr>
  </w:style>
  <w:style w:type="character" w:customStyle="1" w:styleId="Heading3Char">
    <w:name w:val="Heading 3 Char"/>
    <w:basedOn w:val="DefaultParagraphFont"/>
    <w:link w:val="Heading3"/>
    <w:rsid w:val="006312AD"/>
    <w:rPr>
      <w:rFonts w:ascii="Arial Narrow" w:eastAsiaTheme="majorEastAsia" w:hAnsi="Arial Narrow" w:cstheme="majorBidi"/>
      <w:b/>
      <w:bCs/>
      <w:color w:val="005A9B" w:themeColor="background2"/>
      <w:sz w:val="28"/>
    </w:rPr>
  </w:style>
  <w:style w:type="character" w:customStyle="1" w:styleId="Heading4Char">
    <w:name w:val="Heading 4 Char"/>
    <w:basedOn w:val="DefaultParagraphFont"/>
    <w:link w:val="Heading4"/>
    <w:rsid w:val="006312AD"/>
    <w:rPr>
      <w:rFonts w:ascii="Arial" w:eastAsiaTheme="majorEastAsia" w:hAnsi="Arial" w:cstheme="majorBidi"/>
      <w:b/>
      <w:bCs/>
      <w:i/>
      <w:iCs/>
      <w:color w:val="005A9B" w:themeColor="background2"/>
      <w:sz w:val="24"/>
    </w:rPr>
  </w:style>
  <w:style w:type="character" w:customStyle="1" w:styleId="Heading5Char">
    <w:name w:val="Heading 5 Char"/>
    <w:basedOn w:val="DefaultParagraphFont"/>
    <w:link w:val="Heading5"/>
    <w:semiHidden/>
    <w:rsid w:val="008220D8"/>
    <w:rPr>
      <w:rFonts w:asciiTheme="majorHAnsi" w:eastAsiaTheme="majorEastAsia" w:hAnsiTheme="majorHAnsi" w:cstheme="majorBidi"/>
      <w:b/>
      <w:color w:val="575757" w:themeColor="accent1" w:themeShade="7F"/>
      <w:sz w:val="24"/>
      <w:szCs w:val="22"/>
    </w:rPr>
  </w:style>
  <w:style w:type="character" w:customStyle="1" w:styleId="Heading6Char">
    <w:name w:val="Heading 6 Char"/>
    <w:aliases w:val="appendices Char"/>
    <w:basedOn w:val="DefaultParagraphFont"/>
    <w:link w:val="Heading6"/>
    <w:rsid w:val="006312AD"/>
    <w:rPr>
      <w:rFonts w:ascii="Arial Narrow" w:eastAsiaTheme="majorEastAsia" w:hAnsi="Arial Narrow" w:cstheme="majorBidi"/>
      <w:b/>
      <w:bCs/>
      <w:color w:val="005A9B" w:themeColor="background2"/>
      <w:sz w:val="36"/>
      <w:szCs w:val="28"/>
    </w:rPr>
  </w:style>
  <w:style w:type="character" w:customStyle="1" w:styleId="Heading7Char">
    <w:name w:val="Heading 7 Char"/>
    <w:aliases w:val="apx subsection Char"/>
    <w:basedOn w:val="DefaultParagraphFont"/>
    <w:link w:val="Heading7"/>
    <w:rsid w:val="006312AD"/>
    <w:rPr>
      <w:rFonts w:ascii="Arial Narrow" w:hAnsi="Arial Narrow" w:cstheme="majorBidi"/>
      <w:b/>
      <w:color w:val="005A9B" w:themeColor="background2"/>
      <w:sz w:val="32"/>
      <w:szCs w:val="22"/>
    </w:rPr>
  </w:style>
  <w:style w:type="character" w:customStyle="1" w:styleId="Heading8Char">
    <w:name w:val="Heading 8 Char"/>
    <w:basedOn w:val="DefaultParagraphFont"/>
    <w:link w:val="Heading8"/>
    <w:uiPriority w:val="9"/>
    <w:semiHidden/>
    <w:rsid w:val="00EC0217"/>
    <w:rPr>
      <w:rFonts w:ascii="Arial Narrow" w:eastAsiaTheme="majorEastAsia" w:hAnsi="Arial Narrow" w:cstheme="majorBidi"/>
      <w:b/>
      <w:bCs/>
      <w:color w:val="005A9B" w:themeColor="background2"/>
      <w:sz w:val="28"/>
    </w:rPr>
  </w:style>
  <w:style w:type="character" w:customStyle="1" w:styleId="Heading9Char">
    <w:name w:val="Heading 9 Char"/>
    <w:basedOn w:val="DefaultParagraphFont"/>
    <w:link w:val="Heading9"/>
    <w:uiPriority w:val="9"/>
    <w:semiHidden/>
    <w:rsid w:val="008220D8"/>
    <w:rPr>
      <w:rFonts w:ascii="Cambria" w:eastAsiaTheme="majorEastAsia" w:hAnsi="Cambria" w:cstheme="majorBidi"/>
      <w:i/>
      <w:iCs/>
      <w:color w:val="404040"/>
      <w:sz w:val="22"/>
    </w:rPr>
  </w:style>
  <w:style w:type="paragraph" w:styleId="BodyText">
    <w:name w:val="Body Text"/>
    <w:basedOn w:val="Normal"/>
    <w:link w:val="BodyTextChar"/>
    <w:semiHidden/>
    <w:rsid w:val="001431A5"/>
    <w:rPr>
      <w:lang w:eastAsia="en-GB"/>
    </w:rPr>
  </w:style>
  <w:style w:type="character" w:customStyle="1" w:styleId="BodyTextChar">
    <w:name w:val="Body Text Char"/>
    <w:basedOn w:val="DefaultParagraphFont"/>
    <w:link w:val="BodyText"/>
    <w:semiHidden/>
    <w:rsid w:val="001431A5"/>
    <w:rPr>
      <w:rFonts w:ascii="Arial" w:eastAsia="Times New Roman" w:hAnsi="Arial" w:cs="Times New Roman"/>
      <w:sz w:val="20"/>
      <w:szCs w:val="20"/>
      <w:lang w:eastAsia="en-GB"/>
    </w:rPr>
  </w:style>
  <w:style w:type="paragraph" w:styleId="BlockText">
    <w:name w:val="Block Text"/>
    <w:basedOn w:val="Normal"/>
    <w:semiHidden/>
    <w:rsid w:val="001431A5"/>
    <w:pPr>
      <w:ind w:left="1440" w:right="1440"/>
    </w:pPr>
  </w:style>
  <w:style w:type="paragraph" w:styleId="BodyText2">
    <w:name w:val="Body Text 2"/>
    <w:basedOn w:val="Normal"/>
    <w:link w:val="BodyText2Char"/>
    <w:semiHidden/>
    <w:rsid w:val="001431A5"/>
    <w:pPr>
      <w:tabs>
        <w:tab w:val="left" w:pos="709"/>
      </w:tabs>
    </w:pPr>
    <w:rPr>
      <w:rFonts w:cs="Times New Roman Mäori"/>
      <w:iCs/>
      <w:szCs w:val="24"/>
    </w:rPr>
  </w:style>
  <w:style w:type="character" w:customStyle="1" w:styleId="BodyText2Char">
    <w:name w:val="Body Text 2 Char"/>
    <w:basedOn w:val="DefaultParagraphFont"/>
    <w:link w:val="BodyText2"/>
    <w:semiHidden/>
    <w:rsid w:val="001431A5"/>
    <w:rPr>
      <w:rFonts w:ascii="Arial" w:eastAsia="Times New Roman" w:hAnsi="Arial" w:cs="Times New Roman Mäori"/>
      <w:iCs/>
      <w:sz w:val="24"/>
      <w:szCs w:val="24"/>
    </w:rPr>
  </w:style>
  <w:style w:type="character" w:styleId="Hyperlink">
    <w:name w:val="Hyperlink"/>
    <w:basedOn w:val="DefaultParagraphFont"/>
    <w:uiPriority w:val="99"/>
    <w:rsid w:val="00A753DE"/>
    <w:rPr>
      <w:color w:val="005A9B" w:themeColor="background2"/>
      <w:u w:val="single"/>
    </w:rPr>
  </w:style>
  <w:style w:type="paragraph" w:styleId="TOC1">
    <w:name w:val="toc 1"/>
    <w:basedOn w:val="Normal"/>
    <w:next w:val="Normal"/>
    <w:autoRedefine/>
    <w:uiPriority w:val="39"/>
    <w:rsid w:val="00E24CC3"/>
    <w:pPr>
      <w:tabs>
        <w:tab w:val="left" w:pos="1134"/>
        <w:tab w:val="right" w:leader="dot" w:pos="9498"/>
      </w:tabs>
      <w:spacing w:before="180" w:after="40"/>
    </w:pPr>
    <w:rPr>
      <w:rFonts w:cstheme="minorHAnsi"/>
      <w:b/>
      <w:bCs/>
      <w:iCs/>
      <w:noProof/>
      <w:szCs w:val="24"/>
    </w:rPr>
  </w:style>
  <w:style w:type="paragraph" w:styleId="TOC2">
    <w:name w:val="toc 2"/>
    <w:basedOn w:val="Normal"/>
    <w:next w:val="Normal"/>
    <w:autoRedefine/>
    <w:uiPriority w:val="39"/>
    <w:rsid w:val="00E24CC3"/>
    <w:pPr>
      <w:tabs>
        <w:tab w:val="left" w:pos="1560"/>
        <w:tab w:val="right" w:leader="dot" w:pos="9498"/>
      </w:tabs>
      <w:spacing w:before="40" w:after="40"/>
      <w:ind w:firstLine="1134"/>
    </w:pPr>
    <w:rPr>
      <w:rFonts w:cstheme="minorHAnsi"/>
      <w:bCs/>
      <w:noProof/>
    </w:rPr>
  </w:style>
  <w:style w:type="paragraph" w:styleId="TOC3">
    <w:name w:val="toc 3"/>
    <w:basedOn w:val="Normal"/>
    <w:next w:val="Normal"/>
    <w:autoRedefine/>
    <w:uiPriority w:val="39"/>
    <w:rsid w:val="0030655D"/>
    <w:pPr>
      <w:tabs>
        <w:tab w:val="left" w:pos="2127"/>
        <w:tab w:val="right" w:leader="dot" w:pos="9498"/>
      </w:tabs>
      <w:spacing w:before="40" w:after="40"/>
      <w:ind w:firstLine="1531"/>
    </w:pPr>
    <w:rPr>
      <w:rFonts w:cstheme="minorHAnsi"/>
      <w:noProof/>
      <w:szCs w:val="20"/>
    </w:rPr>
  </w:style>
  <w:style w:type="character" w:styleId="FollowedHyperlink">
    <w:name w:val="FollowedHyperlink"/>
    <w:basedOn w:val="DefaultParagraphFont"/>
    <w:uiPriority w:val="99"/>
    <w:semiHidden/>
    <w:unhideWhenUsed/>
    <w:rsid w:val="00902063"/>
    <w:rPr>
      <w:color w:val="800080" w:themeColor="followedHyperlink"/>
      <w:u w:val="single"/>
    </w:rPr>
  </w:style>
  <w:style w:type="paragraph" w:styleId="Header">
    <w:name w:val="header"/>
    <w:basedOn w:val="Normal"/>
    <w:link w:val="HeaderChar"/>
    <w:semiHidden/>
    <w:rsid w:val="001431A5"/>
    <w:pPr>
      <w:tabs>
        <w:tab w:val="left" w:pos="709"/>
        <w:tab w:val="center" w:pos="4320"/>
        <w:tab w:val="right" w:pos="9360"/>
      </w:tabs>
    </w:pPr>
    <w:rPr>
      <w:rFonts w:eastAsia="Batang" w:cs="Arial"/>
      <w:szCs w:val="24"/>
      <w:lang w:val="en-AU"/>
    </w:rPr>
  </w:style>
  <w:style w:type="character" w:customStyle="1" w:styleId="HeaderChar">
    <w:name w:val="Header Char"/>
    <w:basedOn w:val="DefaultParagraphFont"/>
    <w:link w:val="Header"/>
    <w:semiHidden/>
    <w:rsid w:val="001431A5"/>
    <w:rPr>
      <w:rFonts w:ascii="Arial" w:eastAsia="Batang" w:hAnsi="Arial" w:cs="Arial"/>
      <w:sz w:val="20"/>
      <w:szCs w:val="24"/>
      <w:lang w:val="en-AU"/>
    </w:rPr>
  </w:style>
  <w:style w:type="paragraph" w:styleId="Footer">
    <w:name w:val="footer"/>
    <w:basedOn w:val="Normal"/>
    <w:link w:val="FooterChar"/>
    <w:semiHidden/>
    <w:rsid w:val="001431A5"/>
    <w:pPr>
      <w:tabs>
        <w:tab w:val="center" w:pos="4153"/>
        <w:tab w:val="right" w:pos="8306"/>
      </w:tabs>
    </w:pPr>
    <w:rPr>
      <w:rFonts w:ascii="Times New Roman" w:hAnsi="Times New Roman"/>
      <w:lang w:eastAsia="en-GB"/>
    </w:rPr>
  </w:style>
  <w:style w:type="character" w:customStyle="1" w:styleId="FooterChar">
    <w:name w:val="Footer Char"/>
    <w:basedOn w:val="DefaultParagraphFont"/>
    <w:link w:val="Footer"/>
    <w:semiHidden/>
    <w:rsid w:val="001431A5"/>
    <w:rPr>
      <w:rFonts w:ascii="Times New Roman" w:eastAsia="Times New Roman" w:hAnsi="Times New Roman" w:cs="Times New Roman"/>
      <w:sz w:val="24"/>
      <w:szCs w:val="20"/>
      <w:lang w:eastAsia="en-GB"/>
    </w:rPr>
  </w:style>
  <w:style w:type="paragraph" w:styleId="BodyText3">
    <w:name w:val="Body Text 3"/>
    <w:basedOn w:val="Normal"/>
    <w:link w:val="BodyText3Char"/>
    <w:semiHidden/>
    <w:rsid w:val="001431A5"/>
    <w:pPr>
      <w:tabs>
        <w:tab w:val="left" w:pos="8505"/>
      </w:tabs>
      <w:ind w:right="-51"/>
    </w:pPr>
    <w:rPr>
      <w:rFonts w:cs="Arial"/>
      <w:bCs/>
    </w:rPr>
  </w:style>
  <w:style w:type="character" w:customStyle="1" w:styleId="BodyText3Char">
    <w:name w:val="Body Text 3 Char"/>
    <w:basedOn w:val="DefaultParagraphFont"/>
    <w:link w:val="BodyText3"/>
    <w:semiHidden/>
    <w:rsid w:val="001431A5"/>
    <w:rPr>
      <w:rFonts w:ascii="Arial" w:eastAsia="Times New Roman" w:hAnsi="Arial" w:cs="Arial"/>
      <w:bCs/>
      <w:lang w:val="en-US"/>
    </w:rPr>
  </w:style>
  <w:style w:type="paragraph" w:styleId="TOAHeading">
    <w:name w:val="toa heading"/>
    <w:basedOn w:val="Normal"/>
    <w:next w:val="Normal"/>
    <w:semiHidden/>
    <w:rsid w:val="001431A5"/>
    <w:rPr>
      <w:b/>
      <w:bCs/>
      <w:szCs w:val="24"/>
    </w:rPr>
  </w:style>
  <w:style w:type="paragraph" w:styleId="MacroText">
    <w:name w:val="macro"/>
    <w:link w:val="MacroTextChar"/>
    <w:semiHidden/>
    <w:rsid w:val="001431A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eastAsia="Times New Roman" w:hAnsi="Courier New"/>
      <w:lang w:val="en-US"/>
    </w:rPr>
  </w:style>
  <w:style w:type="character" w:customStyle="1" w:styleId="MacroTextChar">
    <w:name w:val="Macro Text Char"/>
    <w:basedOn w:val="DefaultParagraphFont"/>
    <w:link w:val="MacroText"/>
    <w:semiHidden/>
    <w:rsid w:val="001431A5"/>
    <w:rPr>
      <w:rFonts w:ascii="Courier New" w:eastAsia="Times New Roman" w:hAnsi="Courier New" w:cs="Times New Roman"/>
      <w:sz w:val="20"/>
      <w:szCs w:val="20"/>
      <w:lang w:val="en-US"/>
    </w:rPr>
  </w:style>
  <w:style w:type="character" w:styleId="PageNumber">
    <w:name w:val="page number"/>
    <w:basedOn w:val="DefaultParagraphFont"/>
    <w:semiHidden/>
    <w:rsid w:val="001431A5"/>
    <w:rPr>
      <w:rFonts w:ascii="Arial Narrow" w:hAnsi="Arial Narrow"/>
      <w:sz w:val="20"/>
    </w:rPr>
  </w:style>
  <w:style w:type="paragraph" w:customStyle="1" w:styleId="MCDEMfooterodd">
    <w:name w:val="MCDEM footer odd"/>
    <w:basedOn w:val="Normal"/>
    <w:next w:val="Normal"/>
    <w:link w:val="MCDEMfooteroddChar"/>
    <w:rsid w:val="0038097B"/>
    <w:pPr>
      <w:tabs>
        <w:tab w:val="center" w:pos="4820"/>
      </w:tabs>
      <w:contextualSpacing/>
      <w:jc w:val="right"/>
    </w:pPr>
    <w:rPr>
      <w:b/>
      <w:color w:val="000000" w:themeColor="text1"/>
      <w:sz w:val="14"/>
      <w:szCs w:val="18"/>
    </w:rPr>
  </w:style>
  <w:style w:type="paragraph" w:styleId="BalloonText">
    <w:name w:val="Balloon Text"/>
    <w:basedOn w:val="Normal"/>
    <w:link w:val="BalloonTextChar"/>
    <w:uiPriority w:val="99"/>
    <w:semiHidden/>
    <w:unhideWhenUsed/>
    <w:rsid w:val="003C4DF1"/>
    <w:rPr>
      <w:rFonts w:ascii="Tahoma" w:hAnsi="Tahoma" w:cs="Tahoma"/>
      <w:sz w:val="16"/>
      <w:szCs w:val="16"/>
    </w:rPr>
  </w:style>
  <w:style w:type="character" w:customStyle="1" w:styleId="BalloonTextChar">
    <w:name w:val="Balloon Text Char"/>
    <w:basedOn w:val="DefaultParagraphFont"/>
    <w:link w:val="BalloonText"/>
    <w:uiPriority w:val="99"/>
    <w:semiHidden/>
    <w:rsid w:val="003C4DF1"/>
    <w:rPr>
      <w:rFonts w:ascii="Tahoma" w:eastAsia="Times New Roman" w:hAnsi="Tahoma" w:cs="Tahoma"/>
      <w:sz w:val="16"/>
      <w:szCs w:val="16"/>
      <w:lang w:val="en-US"/>
    </w:rPr>
  </w:style>
  <w:style w:type="paragraph" w:customStyle="1" w:styleId="Spacer">
    <w:name w:val="Spacer"/>
    <w:basedOn w:val="Normal"/>
    <w:qFormat/>
    <w:rsid w:val="008220D8"/>
    <w:pPr>
      <w:spacing w:before="0" w:after="0" w:line="240" w:lineRule="auto"/>
    </w:pPr>
    <w:rPr>
      <w:sz w:val="16"/>
    </w:rPr>
  </w:style>
  <w:style w:type="paragraph" w:customStyle="1" w:styleId="LHcolumn">
    <w:name w:val="LH column"/>
    <w:basedOn w:val="Normal"/>
    <w:qFormat/>
    <w:rsid w:val="008220D8"/>
    <w:rPr>
      <w:rFonts w:ascii="Arial Narrow" w:hAnsi="Arial Narrow"/>
      <w:b/>
      <w:color w:val="005A9B" w:themeColor="background2"/>
    </w:rPr>
  </w:style>
  <w:style w:type="paragraph" w:customStyle="1" w:styleId="Bullet">
    <w:name w:val="Bullet"/>
    <w:basedOn w:val="ListParagraph"/>
    <w:qFormat/>
    <w:rsid w:val="006217F1"/>
    <w:pPr>
      <w:numPr>
        <w:numId w:val="11"/>
      </w:numPr>
      <w:contextualSpacing w:val="0"/>
    </w:pPr>
  </w:style>
  <w:style w:type="paragraph" w:customStyle="1" w:styleId="Tablenormal0">
    <w:name w:val="Table normal"/>
    <w:basedOn w:val="Normal"/>
    <w:link w:val="TablenormalChar"/>
    <w:qFormat/>
    <w:rsid w:val="008220D8"/>
    <w:pPr>
      <w:spacing w:before="60" w:after="60" w:line="240" w:lineRule="auto"/>
    </w:pPr>
  </w:style>
  <w:style w:type="paragraph" w:customStyle="1" w:styleId="Tableheading">
    <w:name w:val="Table heading"/>
    <w:basedOn w:val="Normal"/>
    <w:qFormat/>
    <w:rsid w:val="008220D8"/>
    <w:pPr>
      <w:spacing w:before="60" w:after="60" w:line="240" w:lineRule="auto"/>
    </w:pPr>
    <w:rPr>
      <w:b/>
      <w:color w:val="FFFFFF"/>
    </w:rPr>
  </w:style>
  <w:style w:type="paragraph" w:customStyle="1" w:styleId="Figuresource">
    <w:name w:val="Figure source"/>
    <w:basedOn w:val="Figuretitle"/>
    <w:next w:val="Normal"/>
    <w:uiPriority w:val="99"/>
    <w:semiHidden/>
    <w:qFormat/>
    <w:rsid w:val="008220D8"/>
    <w:rPr>
      <w:b w:val="0"/>
    </w:rPr>
  </w:style>
  <w:style w:type="paragraph" w:customStyle="1" w:styleId="NZFS2ndpageheader">
    <w:name w:val="NZFS 2nd page header"/>
    <w:basedOn w:val="Normal"/>
    <w:next w:val="Normal"/>
    <w:uiPriority w:val="99"/>
    <w:semiHidden/>
    <w:qFormat/>
    <w:rsid w:val="008220D8"/>
    <w:pPr>
      <w:pBdr>
        <w:bottom w:val="single" w:sz="8" w:space="1" w:color="7F7F7F"/>
      </w:pBdr>
      <w:tabs>
        <w:tab w:val="center" w:pos="4820"/>
      </w:tabs>
      <w:spacing w:after="0" w:line="240" w:lineRule="auto"/>
    </w:pPr>
    <w:rPr>
      <w:i/>
      <w:color w:val="7F7F7F"/>
      <w:sz w:val="18"/>
      <w:szCs w:val="18"/>
    </w:rPr>
  </w:style>
  <w:style w:type="paragraph" w:customStyle="1" w:styleId="Tablebullet">
    <w:name w:val="Table bullet"/>
    <w:basedOn w:val="Bullet"/>
    <w:qFormat/>
    <w:rsid w:val="008220D8"/>
    <w:pPr>
      <w:numPr>
        <w:numId w:val="5"/>
      </w:numPr>
      <w:spacing w:before="60" w:after="60" w:line="240" w:lineRule="auto"/>
    </w:pPr>
  </w:style>
  <w:style w:type="paragraph" w:customStyle="1" w:styleId="Legislationboxtitle">
    <w:name w:val="Legislation box title"/>
    <w:basedOn w:val="Normal"/>
    <w:next w:val="Normal"/>
    <w:link w:val="LegislationboxtitleChar"/>
    <w:qFormat/>
    <w:rsid w:val="008220D8"/>
    <w:pPr>
      <w:jc w:val="center"/>
    </w:pPr>
    <w:rPr>
      <w:b/>
      <w:sz w:val="20"/>
    </w:rPr>
  </w:style>
  <w:style w:type="character" w:customStyle="1" w:styleId="LegislationboxtitleChar">
    <w:name w:val="Legislation box title Char"/>
    <w:basedOn w:val="DefaultParagraphFont"/>
    <w:link w:val="Legislationboxtitle"/>
    <w:rsid w:val="008220D8"/>
    <w:rPr>
      <w:rFonts w:ascii="Arial" w:hAnsi="Arial"/>
      <w:b/>
      <w:szCs w:val="22"/>
    </w:rPr>
  </w:style>
  <w:style w:type="paragraph" w:customStyle="1" w:styleId="Tablenumbering">
    <w:name w:val="Table numbering"/>
    <w:basedOn w:val="Normal"/>
    <w:rsid w:val="00D511C2"/>
    <w:pPr>
      <w:numPr>
        <w:numId w:val="1"/>
      </w:numPr>
      <w:spacing w:before="60" w:after="60" w:line="240" w:lineRule="auto"/>
      <w:ind w:left="357" w:hanging="357"/>
      <w:contextualSpacing/>
    </w:pPr>
  </w:style>
  <w:style w:type="paragraph" w:customStyle="1" w:styleId="Tinyline">
    <w:name w:val="Tiny line"/>
    <w:basedOn w:val="Spacer"/>
    <w:qFormat/>
    <w:rsid w:val="008220D8"/>
    <w:rPr>
      <w:sz w:val="8"/>
    </w:rPr>
  </w:style>
  <w:style w:type="paragraph" w:styleId="Caption">
    <w:name w:val="caption"/>
    <w:basedOn w:val="Normal"/>
    <w:next w:val="Normal"/>
    <w:qFormat/>
    <w:rsid w:val="008220D8"/>
    <w:pPr>
      <w:spacing w:line="240" w:lineRule="auto"/>
      <w:jc w:val="center"/>
    </w:pPr>
    <w:rPr>
      <w:rFonts w:ascii="Arial Narrow" w:hAnsi="Arial Narrow"/>
      <w:b/>
      <w:bCs/>
      <w:szCs w:val="18"/>
    </w:rPr>
  </w:style>
  <w:style w:type="paragraph" w:styleId="Title">
    <w:name w:val="Title"/>
    <w:aliases w:val="front page"/>
    <w:basedOn w:val="Normal"/>
    <w:next w:val="Normal"/>
    <w:link w:val="TitleChar"/>
    <w:qFormat/>
    <w:rsid w:val="008220D8"/>
    <w:pPr>
      <w:spacing w:before="0" w:after="300" w:line="240" w:lineRule="auto"/>
      <w:contextualSpacing/>
    </w:pPr>
    <w:rPr>
      <w:rFonts w:eastAsiaTheme="majorEastAsia" w:cstheme="majorBidi"/>
      <w:color w:val="000000" w:themeColor="text1"/>
      <w:spacing w:val="5"/>
      <w:kern w:val="28"/>
      <w:sz w:val="52"/>
      <w:szCs w:val="52"/>
    </w:rPr>
  </w:style>
  <w:style w:type="character" w:customStyle="1" w:styleId="TitleChar">
    <w:name w:val="Title Char"/>
    <w:aliases w:val="front page Char"/>
    <w:basedOn w:val="DefaultParagraphFont"/>
    <w:link w:val="Title"/>
    <w:rsid w:val="008220D8"/>
    <w:rPr>
      <w:rFonts w:ascii="Arial" w:eastAsiaTheme="majorEastAsia" w:hAnsi="Arial" w:cstheme="majorBidi"/>
      <w:color w:val="000000" w:themeColor="text1"/>
      <w:spacing w:val="5"/>
      <w:kern w:val="28"/>
      <w:sz w:val="52"/>
      <w:szCs w:val="52"/>
    </w:rPr>
  </w:style>
  <w:style w:type="character" w:styleId="Strong">
    <w:name w:val="Strong"/>
    <w:uiPriority w:val="22"/>
    <w:semiHidden/>
    <w:qFormat/>
    <w:rsid w:val="008220D8"/>
    <w:rPr>
      <w:b/>
      <w:bCs/>
    </w:rPr>
  </w:style>
  <w:style w:type="character" w:styleId="SubtleEmphasis">
    <w:name w:val="Subtle Emphasis"/>
    <w:uiPriority w:val="19"/>
    <w:semiHidden/>
    <w:qFormat/>
    <w:rsid w:val="008220D8"/>
    <w:rPr>
      <w:i/>
      <w:iCs/>
      <w:color w:val="808080" w:themeColor="text1" w:themeTint="7F"/>
    </w:rPr>
  </w:style>
  <w:style w:type="character" w:styleId="SubtleReference">
    <w:name w:val="Subtle Reference"/>
    <w:uiPriority w:val="31"/>
    <w:semiHidden/>
    <w:qFormat/>
    <w:rsid w:val="008220D8"/>
    <w:rPr>
      <w:smallCaps/>
      <w:color w:val="9B2703" w:themeColor="accent2"/>
      <w:u w:val="single"/>
    </w:rPr>
  </w:style>
  <w:style w:type="paragraph" w:styleId="TOCHeading">
    <w:name w:val="TOC Heading"/>
    <w:basedOn w:val="Heading1"/>
    <w:next w:val="Normal"/>
    <w:uiPriority w:val="39"/>
    <w:semiHidden/>
    <w:unhideWhenUsed/>
    <w:qFormat/>
    <w:rsid w:val="008220D8"/>
    <w:pPr>
      <w:numPr>
        <w:numId w:val="0"/>
      </w:numPr>
      <w:spacing w:after="0"/>
      <w:outlineLvl w:val="9"/>
    </w:pPr>
    <w:rPr>
      <w:rFonts w:ascii="Cambria" w:hAnsi="Cambria"/>
      <w:color w:val="5F5F5F"/>
      <w:sz w:val="28"/>
    </w:rPr>
  </w:style>
  <w:style w:type="table" w:styleId="TableGrid">
    <w:name w:val="Table Grid"/>
    <w:basedOn w:val="TableNormal"/>
    <w:uiPriority w:val="59"/>
    <w:rsid w:val="00394F37"/>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forewordandcontents">
    <w:name w:val="Title foreword and contents"/>
    <w:basedOn w:val="Title"/>
    <w:next w:val="Normal"/>
    <w:qFormat/>
    <w:rsid w:val="008220D8"/>
    <w:pPr>
      <w:pageBreakBefore/>
      <w:pBdr>
        <w:bottom w:val="single" w:sz="8" w:space="0" w:color="AFAFAF" w:themeColor="accent1"/>
      </w:pBdr>
      <w:spacing w:before="200" w:after="40"/>
      <w:contextualSpacing w:val="0"/>
    </w:pPr>
    <w:rPr>
      <w:rFonts w:ascii="Arial Narrow" w:hAnsi="Arial Narrow"/>
      <w:b/>
      <w:color w:val="005A9B" w:themeColor="background2"/>
      <w:sz w:val="40"/>
    </w:rPr>
  </w:style>
  <w:style w:type="paragraph" w:customStyle="1" w:styleId="MCDEMheader">
    <w:name w:val="MCDEM header"/>
    <w:basedOn w:val="Normal"/>
    <w:qFormat/>
    <w:rsid w:val="008220D8"/>
    <w:pPr>
      <w:spacing w:before="0" w:after="0"/>
    </w:pPr>
    <w:rPr>
      <w:i/>
      <w:color w:val="838383" w:themeColor="accent1" w:themeShade="BF"/>
    </w:rPr>
  </w:style>
  <w:style w:type="paragraph" w:styleId="Subtitle">
    <w:name w:val="Subtitle"/>
    <w:basedOn w:val="Normal"/>
    <w:next w:val="Normal"/>
    <w:link w:val="SubtitleChar"/>
    <w:uiPriority w:val="99"/>
    <w:semiHidden/>
    <w:qFormat/>
    <w:rsid w:val="008220D8"/>
    <w:pPr>
      <w:numPr>
        <w:ilvl w:val="1"/>
      </w:numPr>
    </w:pPr>
    <w:rPr>
      <w:rFonts w:asciiTheme="majorHAnsi" w:eastAsiaTheme="majorEastAsia" w:hAnsiTheme="majorHAnsi" w:cstheme="majorBidi"/>
      <w:i/>
      <w:iCs/>
      <w:color w:val="AFAFAF" w:themeColor="accent1"/>
      <w:spacing w:val="15"/>
      <w:sz w:val="24"/>
      <w:szCs w:val="24"/>
    </w:rPr>
  </w:style>
  <w:style w:type="character" w:customStyle="1" w:styleId="SubtitleChar">
    <w:name w:val="Subtitle Char"/>
    <w:basedOn w:val="DefaultParagraphFont"/>
    <w:link w:val="Subtitle"/>
    <w:uiPriority w:val="99"/>
    <w:semiHidden/>
    <w:rsid w:val="008220D8"/>
    <w:rPr>
      <w:rFonts w:asciiTheme="majorHAnsi" w:eastAsiaTheme="majorEastAsia" w:hAnsiTheme="majorHAnsi" w:cstheme="majorBidi"/>
      <w:i/>
      <w:iCs/>
      <w:color w:val="AFAFAF" w:themeColor="accent1"/>
      <w:spacing w:val="15"/>
      <w:sz w:val="24"/>
      <w:szCs w:val="24"/>
    </w:rPr>
  </w:style>
  <w:style w:type="paragraph" w:styleId="IntenseQuote">
    <w:name w:val="Intense Quote"/>
    <w:basedOn w:val="Normal"/>
    <w:next w:val="Normal"/>
    <w:link w:val="IntenseQuoteChar"/>
    <w:uiPriority w:val="30"/>
    <w:semiHidden/>
    <w:qFormat/>
    <w:rsid w:val="008220D8"/>
    <w:pPr>
      <w:pBdr>
        <w:bottom w:val="single" w:sz="4" w:space="4" w:color="AFAFAF" w:themeColor="accent1"/>
      </w:pBdr>
      <w:spacing w:before="200" w:after="280"/>
      <w:ind w:left="936" w:right="936"/>
    </w:pPr>
    <w:rPr>
      <w:b/>
      <w:bCs/>
      <w:i/>
      <w:iCs/>
      <w:color w:val="AFAFAF" w:themeColor="accent1"/>
      <w:sz w:val="20"/>
    </w:rPr>
  </w:style>
  <w:style w:type="character" w:customStyle="1" w:styleId="IntenseQuoteChar">
    <w:name w:val="Intense Quote Char"/>
    <w:basedOn w:val="DefaultParagraphFont"/>
    <w:link w:val="IntenseQuote"/>
    <w:uiPriority w:val="30"/>
    <w:semiHidden/>
    <w:rsid w:val="008220D8"/>
    <w:rPr>
      <w:rFonts w:ascii="Arial" w:hAnsi="Arial"/>
      <w:b/>
      <w:bCs/>
      <w:i/>
      <w:iCs/>
      <w:color w:val="AFAFAF" w:themeColor="accent1"/>
      <w:szCs w:val="22"/>
    </w:rPr>
  </w:style>
  <w:style w:type="character" w:styleId="IntenseEmphasis">
    <w:name w:val="Intense Emphasis"/>
    <w:uiPriority w:val="21"/>
    <w:semiHidden/>
    <w:qFormat/>
    <w:rsid w:val="008220D8"/>
    <w:rPr>
      <w:b/>
      <w:bCs/>
      <w:i/>
      <w:iCs/>
      <w:color w:val="AFAFAF" w:themeColor="accent1"/>
    </w:rPr>
  </w:style>
  <w:style w:type="paragraph" w:customStyle="1" w:styleId="Crossreference">
    <w:name w:val="Cross reference"/>
    <w:basedOn w:val="Normal"/>
    <w:link w:val="CrossreferenceChar"/>
    <w:qFormat/>
    <w:rsid w:val="008220D8"/>
    <w:rPr>
      <w:i/>
      <w:color w:val="005A9B" w:themeColor="background2"/>
      <w:sz w:val="20"/>
      <w:u w:val="single"/>
    </w:rPr>
  </w:style>
  <w:style w:type="paragraph" w:styleId="TOC4">
    <w:name w:val="toc 4"/>
    <w:basedOn w:val="TOC2"/>
    <w:next w:val="Normal"/>
    <w:autoRedefine/>
    <w:uiPriority w:val="39"/>
    <w:rsid w:val="00E24CC3"/>
    <w:pPr>
      <w:ind w:firstLine="2127"/>
    </w:pPr>
  </w:style>
  <w:style w:type="paragraph" w:styleId="TOC5">
    <w:name w:val="toc 5"/>
    <w:basedOn w:val="TOC4"/>
    <w:next w:val="Normal"/>
    <w:autoRedefine/>
    <w:uiPriority w:val="39"/>
    <w:rsid w:val="00F82157"/>
    <w:pPr>
      <w:tabs>
        <w:tab w:val="clear" w:pos="1560"/>
        <w:tab w:val="left" w:pos="2410"/>
        <w:tab w:val="left" w:pos="2674"/>
      </w:tabs>
      <w:ind w:firstLine="1134"/>
    </w:pPr>
    <w:rPr>
      <w:u w:color="AFAFAF" w:themeColor="accent1"/>
    </w:rPr>
  </w:style>
  <w:style w:type="paragraph" w:styleId="TOC6">
    <w:name w:val="toc 6"/>
    <w:basedOn w:val="Normal"/>
    <w:next w:val="Normal"/>
    <w:autoRedefine/>
    <w:uiPriority w:val="39"/>
    <w:rsid w:val="00387A20"/>
    <w:pPr>
      <w:tabs>
        <w:tab w:val="left" w:pos="1276"/>
        <w:tab w:val="right" w:leader="dot" w:pos="9515"/>
      </w:tabs>
      <w:spacing w:before="40" w:after="40"/>
    </w:pPr>
    <w:rPr>
      <w:rFonts w:cstheme="minorHAnsi"/>
      <w:noProof/>
      <w:szCs w:val="20"/>
    </w:rPr>
  </w:style>
  <w:style w:type="paragraph" w:styleId="TOC7">
    <w:name w:val="toc 7"/>
    <w:basedOn w:val="Normal"/>
    <w:next w:val="Normal"/>
    <w:autoRedefine/>
    <w:uiPriority w:val="39"/>
    <w:rsid w:val="006312AD"/>
    <w:pPr>
      <w:tabs>
        <w:tab w:val="right" w:leader="dot" w:pos="9515"/>
      </w:tabs>
      <w:spacing w:before="40" w:after="40"/>
      <w:ind w:left="737"/>
    </w:pPr>
    <w:rPr>
      <w:rFonts w:cstheme="minorHAnsi"/>
      <w:szCs w:val="20"/>
    </w:rPr>
  </w:style>
  <w:style w:type="paragraph" w:styleId="TOC8">
    <w:name w:val="toc 8"/>
    <w:basedOn w:val="Normal"/>
    <w:next w:val="Normal"/>
    <w:autoRedefine/>
    <w:uiPriority w:val="39"/>
    <w:semiHidden/>
    <w:rsid w:val="00F2496E"/>
    <w:pPr>
      <w:spacing w:before="0" w:after="0"/>
      <w:ind w:left="1400"/>
    </w:pPr>
    <w:rPr>
      <w:rFonts w:asciiTheme="minorHAnsi" w:hAnsiTheme="minorHAnsi" w:cstheme="minorHAnsi"/>
      <w:szCs w:val="20"/>
    </w:rPr>
  </w:style>
  <w:style w:type="paragraph" w:styleId="TOC9">
    <w:name w:val="toc 9"/>
    <w:basedOn w:val="Normal"/>
    <w:next w:val="Normal"/>
    <w:autoRedefine/>
    <w:uiPriority w:val="39"/>
    <w:semiHidden/>
    <w:rsid w:val="00F2496E"/>
    <w:pPr>
      <w:spacing w:before="0" w:after="0"/>
      <w:ind w:left="1600"/>
    </w:pPr>
    <w:rPr>
      <w:rFonts w:asciiTheme="minorHAnsi" w:hAnsiTheme="minorHAnsi" w:cstheme="minorHAnsi"/>
      <w:szCs w:val="20"/>
    </w:rPr>
  </w:style>
  <w:style w:type="paragraph" w:customStyle="1" w:styleId="Referencetitle">
    <w:name w:val="Reference title"/>
    <w:basedOn w:val="Normal"/>
    <w:link w:val="ReferencetitleChar"/>
    <w:semiHidden/>
    <w:rsid w:val="00046744"/>
    <w:rPr>
      <w:i/>
    </w:rPr>
  </w:style>
  <w:style w:type="paragraph" w:styleId="ListParagraph">
    <w:name w:val="List Paragraph"/>
    <w:basedOn w:val="Normal"/>
    <w:uiPriority w:val="34"/>
    <w:qFormat/>
    <w:rsid w:val="00006122"/>
    <w:pPr>
      <w:ind w:left="720"/>
      <w:contextualSpacing/>
    </w:pPr>
  </w:style>
  <w:style w:type="paragraph" w:customStyle="1" w:styleId="Legalbullets">
    <w:name w:val="Legal bullets"/>
    <w:basedOn w:val="Normal"/>
    <w:uiPriority w:val="99"/>
    <w:semiHidden/>
    <w:qFormat/>
    <w:rsid w:val="008220D8"/>
    <w:pPr>
      <w:numPr>
        <w:numId w:val="6"/>
      </w:numPr>
      <w:spacing w:before="60" w:after="60"/>
    </w:pPr>
    <w:rPr>
      <w:sz w:val="20"/>
      <w:szCs w:val="20"/>
    </w:rPr>
  </w:style>
  <w:style w:type="paragraph" w:customStyle="1" w:styleId="Instruction">
    <w:name w:val="Instruction"/>
    <w:basedOn w:val="Tablenormal0"/>
    <w:qFormat/>
    <w:rsid w:val="008220D8"/>
    <w:rPr>
      <w:i/>
      <w:sz w:val="18"/>
    </w:rPr>
  </w:style>
  <w:style w:type="paragraph" w:styleId="NoSpacing">
    <w:name w:val="No Spacing"/>
    <w:basedOn w:val="Normal"/>
    <w:uiPriority w:val="1"/>
    <w:semiHidden/>
    <w:qFormat/>
    <w:rsid w:val="008220D8"/>
    <w:pPr>
      <w:spacing w:before="0" w:after="0" w:line="240" w:lineRule="auto"/>
    </w:pPr>
  </w:style>
  <w:style w:type="paragraph" w:styleId="Quote">
    <w:name w:val="Quote"/>
    <w:basedOn w:val="Normal"/>
    <w:next w:val="Normal"/>
    <w:link w:val="QuoteChar"/>
    <w:uiPriority w:val="29"/>
    <w:semiHidden/>
    <w:qFormat/>
    <w:rsid w:val="008220D8"/>
    <w:rPr>
      <w:i/>
      <w:iCs/>
      <w:color w:val="000000"/>
      <w:sz w:val="20"/>
      <w:szCs w:val="20"/>
    </w:rPr>
  </w:style>
  <w:style w:type="character" w:customStyle="1" w:styleId="QuoteChar">
    <w:name w:val="Quote Char"/>
    <w:basedOn w:val="DefaultParagraphFont"/>
    <w:link w:val="Quote"/>
    <w:uiPriority w:val="29"/>
    <w:semiHidden/>
    <w:rsid w:val="008220D8"/>
    <w:rPr>
      <w:rFonts w:ascii="Arial" w:hAnsi="Arial"/>
      <w:i/>
      <w:iCs/>
      <w:color w:val="000000"/>
    </w:rPr>
  </w:style>
  <w:style w:type="character" w:customStyle="1" w:styleId="ReferencetitleChar">
    <w:name w:val="Reference title Char"/>
    <w:basedOn w:val="DefaultParagraphFont"/>
    <w:link w:val="Referencetitle"/>
    <w:semiHidden/>
    <w:rsid w:val="008137BB"/>
    <w:rPr>
      <w:rFonts w:ascii="Arial" w:hAnsi="Arial"/>
      <w:i/>
      <w:szCs w:val="22"/>
    </w:rPr>
  </w:style>
  <w:style w:type="paragraph" w:styleId="NormalWeb">
    <w:name w:val="Normal (Web)"/>
    <w:basedOn w:val="Normal"/>
    <w:uiPriority w:val="99"/>
    <w:semiHidden/>
    <w:unhideWhenUsed/>
    <w:rsid w:val="009A6831"/>
    <w:rPr>
      <w:rFonts w:ascii="Times New Roman" w:hAnsi="Times New Roman"/>
      <w:sz w:val="24"/>
      <w:szCs w:val="24"/>
    </w:rPr>
  </w:style>
  <w:style w:type="paragraph" w:customStyle="1" w:styleId="Numbering">
    <w:name w:val="Numbering"/>
    <w:basedOn w:val="Normal"/>
    <w:qFormat/>
    <w:rsid w:val="008220D8"/>
    <w:pPr>
      <w:numPr>
        <w:numId w:val="7"/>
      </w:numPr>
      <w:spacing w:line="288" w:lineRule="auto"/>
      <w:contextualSpacing/>
    </w:pPr>
  </w:style>
  <w:style w:type="paragraph" w:customStyle="1" w:styleId="Legalsection">
    <w:name w:val="Legal section"/>
    <w:basedOn w:val="Normal"/>
    <w:next w:val="Normal"/>
    <w:qFormat/>
    <w:rsid w:val="008220D8"/>
    <w:pPr>
      <w:numPr>
        <w:numId w:val="8"/>
      </w:numPr>
      <w:spacing w:after="60"/>
    </w:pPr>
    <w:rPr>
      <w:b/>
    </w:rPr>
  </w:style>
  <w:style w:type="character" w:styleId="CommentReference">
    <w:name w:val="annotation reference"/>
    <w:basedOn w:val="DefaultParagraphFont"/>
    <w:uiPriority w:val="99"/>
    <w:semiHidden/>
    <w:unhideWhenUsed/>
    <w:rsid w:val="0078667F"/>
    <w:rPr>
      <w:sz w:val="16"/>
      <w:szCs w:val="16"/>
    </w:rPr>
  </w:style>
  <w:style w:type="paragraph" w:styleId="CommentText">
    <w:name w:val="annotation text"/>
    <w:basedOn w:val="Normal"/>
    <w:link w:val="CommentTextChar"/>
    <w:uiPriority w:val="99"/>
    <w:semiHidden/>
    <w:unhideWhenUsed/>
    <w:rsid w:val="0078667F"/>
    <w:pPr>
      <w:spacing w:line="240" w:lineRule="auto"/>
    </w:pPr>
    <w:rPr>
      <w:szCs w:val="20"/>
    </w:rPr>
  </w:style>
  <w:style w:type="character" w:customStyle="1" w:styleId="CommentTextChar">
    <w:name w:val="Comment Text Char"/>
    <w:basedOn w:val="DefaultParagraphFont"/>
    <w:link w:val="CommentText"/>
    <w:uiPriority w:val="99"/>
    <w:semiHidden/>
    <w:rsid w:val="0078667F"/>
    <w:rPr>
      <w:rFonts w:ascii="Arial" w:hAnsi="Arial"/>
    </w:rPr>
  </w:style>
  <w:style w:type="paragraph" w:styleId="CommentSubject">
    <w:name w:val="annotation subject"/>
    <w:basedOn w:val="CommentText"/>
    <w:next w:val="CommentText"/>
    <w:link w:val="CommentSubjectChar"/>
    <w:uiPriority w:val="99"/>
    <w:semiHidden/>
    <w:unhideWhenUsed/>
    <w:rsid w:val="0078667F"/>
    <w:rPr>
      <w:b/>
      <w:bCs/>
    </w:rPr>
  </w:style>
  <w:style w:type="character" w:customStyle="1" w:styleId="CommentSubjectChar">
    <w:name w:val="Comment Subject Char"/>
    <w:basedOn w:val="CommentTextChar"/>
    <w:link w:val="CommentSubject"/>
    <w:uiPriority w:val="99"/>
    <w:semiHidden/>
    <w:rsid w:val="0078667F"/>
    <w:rPr>
      <w:rFonts w:ascii="Arial" w:hAnsi="Arial"/>
      <w:b/>
      <w:bCs/>
    </w:rPr>
  </w:style>
  <w:style w:type="character" w:customStyle="1" w:styleId="CrossreferenceChar">
    <w:name w:val="Cross reference Char"/>
    <w:basedOn w:val="DefaultParagraphFont"/>
    <w:link w:val="Crossreference"/>
    <w:rsid w:val="008220D8"/>
    <w:rPr>
      <w:rFonts w:ascii="Arial" w:hAnsi="Arial"/>
      <w:i/>
      <w:color w:val="005A9B" w:themeColor="background2"/>
      <w:szCs w:val="22"/>
      <w:u w:val="single"/>
    </w:rPr>
  </w:style>
  <w:style w:type="paragraph" w:customStyle="1" w:styleId="Appendixcontents">
    <w:name w:val="Appendix contents"/>
    <w:basedOn w:val="TOC1"/>
    <w:uiPriority w:val="99"/>
    <w:semiHidden/>
    <w:qFormat/>
    <w:rsid w:val="008220D8"/>
    <w:pPr>
      <w:tabs>
        <w:tab w:val="clear" w:pos="1134"/>
        <w:tab w:val="left" w:pos="1276"/>
      </w:tabs>
    </w:pPr>
  </w:style>
  <w:style w:type="paragraph" w:customStyle="1" w:styleId="Paragraphspacer">
    <w:name w:val="Paragraph spacer"/>
    <w:basedOn w:val="Normal"/>
    <w:qFormat/>
    <w:rsid w:val="008220D8"/>
    <w:pPr>
      <w:spacing w:before="0" w:after="0" w:line="240" w:lineRule="auto"/>
    </w:pPr>
    <w:rPr>
      <w:sz w:val="24"/>
    </w:rPr>
  </w:style>
  <w:style w:type="paragraph" w:customStyle="1" w:styleId="Greytext">
    <w:name w:val="Greytext"/>
    <w:basedOn w:val="Tablenormal0"/>
    <w:next w:val="Normal"/>
    <w:link w:val="GreytextChar"/>
    <w:rsid w:val="00006122"/>
    <w:rPr>
      <w:i/>
      <w:color w:val="838383" w:themeColor="accent1" w:themeShade="BF"/>
    </w:rPr>
  </w:style>
  <w:style w:type="character" w:customStyle="1" w:styleId="TablenormalChar">
    <w:name w:val="Table normal Char"/>
    <w:basedOn w:val="DefaultParagraphFont"/>
    <w:link w:val="Tablenormal0"/>
    <w:rsid w:val="008220D8"/>
    <w:rPr>
      <w:rFonts w:ascii="Arial" w:hAnsi="Arial"/>
      <w:sz w:val="22"/>
      <w:szCs w:val="22"/>
    </w:rPr>
  </w:style>
  <w:style w:type="character" w:customStyle="1" w:styleId="GreytextChar">
    <w:name w:val="Greytext Char"/>
    <w:basedOn w:val="TablenormalChar"/>
    <w:link w:val="Greytext"/>
    <w:rsid w:val="00006122"/>
    <w:rPr>
      <w:rFonts w:ascii="Arial" w:hAnsi="Arial"/>
      <w:i/>
      <w:color w:val="838383" w:themeColor="accent1" w:themeShade="BF"/>
      <w:sz w:val="22"/>
      <w:szCs w:val="22"/>
    </w:rPr>
  </w:style>
  <w:style w:type="paragraph" w:customStyle="1" w:styleId="Redtext">
    <w:name w:val="Redtext"/>
    <w:basedOn w:val="Normal"/>
    <w:next w:val="Normal"/>
    <w:link w:val="RedtextChar"/>
    <w:rsid w:val="00006122"/>
    <w:pPr>
      <w:spacing w:before="20" w:after="20" w:line="240" w:lineRule="auto"/>
    </w:pPr>
    <w:rPr>
      <w:color w:val="9B2703" w:themeColor="accent2"/>
    </w:rPr>
  </w:style>
  <w:style w:type="paragraph" w:customStyle="1" w:styleId="Redtextbullets">
    <w:name w:val="Redtext bullets"/>
    <w:basedOn w:val="Redtext"/>
    <w:rsid w:val="00006122"/>
    <w:pPr>
      <w:numPr>
        <w:numId w:val="2"/>
      </w:numPr>
    </w:pPr>
  </w:style>
  <w:style w:type="character" w:customStyle="1" w:styleId="RedtextChar">
    <w:name w:val="Redtext Char"/>
    <w:basedOn w:val="DefaultParagraphFont"/>
    <w:link w:val="Redtext"/>
    <w:rsid w:val="00006122"/>
    <w:rPr>
      <w:rFonts w:ascii="Arial" w:hAnsi="Arial"/>
      <w:color w:val="9B2703" w:themeColor="accent2"/>
      <w:szCs w:val="22"/>
    </w:rPr>
  </w:style>
  <w:style w:type="paragraph" w:customStyle="1" w:styleId="Greytextbullet">
    <w:name w:val="Grey text bullet"/>
    <w:basedOn w:val="Greytext"/>
    <w:rsid w:val="00006122"/>
  </w:style>
  <w:style w:type="paragraph" w:customStyle="1" w:styleId="Greytextdoublebullet">
    <w:name w:val="Grey text double bullet"/>
    <w:basedOn w:val="Greytext"/>
    <w:rsid w:val="00006122"/>
    <w:pPr>
      <w:numPr>
        <w:ilvl w:val="1"/>
        <w:numId w:val="3"/>
      </w:numPr>
    </w:pPr>
  </w:style>
  <w:style w:type="paragraph" w:customStyle="1" w:styleId="MCDEMfootereven">
    <w:name w:val="MCDEM footer even"/>
    <w:basedOn w:val="MCDEMfooterodd"/>
    <w:link w:val="MCDEMfooterevenChar"/>
    <w:rsid w:val="00006122"/>
    <w:pPr>
      <w:spacing w:before="40"/>
      <w:jc w:val="left"/>
    </w:pPr>
  </w:style>
  <w:style w:type="character" w:customStyle="1" w:styleId="MCDEMfooteroddChar">
    <w:name w:val="MCDEM footer odd Char"/>
    <w:basedOn w:val="DefaultParagraphFont"/>
    <w:link w:val="MCDEMfooterodd"/>
    <w:rsid w:val="0038097B"/>
    <w:rPr>
      <w:rFonts w:ascii="Arial" w:hAnsi="Arial"/>
      <w:b/>
      <w:color w:val="000000" w:themeColor="text1"/>
      <w:sz w:val="14"/>
      <w:szCs w:val="18"/>
    </w:rPr>
  </w:style>
  <w:style w:type="character" w:customStyle="1" w:styleId="MCDEMfooterevenChar">
    <w:name w:val="MCDEM footer even Char"/>
    <w:basedOn w:val="MCDEMfooteroddChar"/>
    <w:link w:val="MCDEMfootereven"/>
    <w:rsid w:val="00006122"/>
    <w:rPr>
      <w:rFonts w:ascii="Arial" w:hAnsi="Arial"/>
      <w:b/>
      <w:color w:val="000000" w:themeColor="text1"/>
      <w:sz w:val="14"/>
      <w:szCs w:val="18"/>
    </w:rPr>
  </w:style>
  <w:style w:type="character" w:customStyle="1" w:styleId="MCDEMfooteroddcode">
    <w:name w:val="MCDEM footer odd code"/>
    <w:basedOn w:val="MCDEMfooteroddChar"/>
    <w:rsid w:val="00006122"/>
    <w:rPr>
      <w:rFonts w:ascii="Arial" w:hAnsi="Arial"/>
      <w:b w:val="0"/>
      <w:color w:val="000000" w:themeColor="text1"/>
      <w:sz w:val="14"/>
      <w:szCs w:val="18"/>
    </w:rPr>
  </w:style>
  <w:style w:type="character" w:customStyle="1" w:styleId="MCDEMfooterevencode">
    <w:name w:val="MCDEM footer even code"/>
    <w:basedOn w:val="MCDEMfooterevenChar"/>
    <w:rsid w:val="00006122"/>
    <w:rPr>
      <w:rFonts w:ascii="Arial" w:hAnsi="Arial"/>
      <w:b w:val="0"/>
      <w:i w:val="0"/>
      <w:color w:val="000000" w:themeColor="text1"/>
      <w:sz w:val="14"/>
      <w:szCs w:val="18"/>
    </w:rPr>
  </w:style>
  <w:style w:type="paragraph" w:customStyle="1" w:styleId="Titlefrontpagesecondline">
    <w:name w:val="Title front page second line"/>
    <w:basedOn w:val="Title"/>
    <w:qFormat/>
    <w:rsid w:val="008220D8"/>
    <w:rPr>
      <w:sz w:val="32"/>
    </w:rPr>
  </w:style>
  <w:style w:type="paragraph" w:customStyle="1" w:styleId="Insidecoverdocname">
    <w:name w:val="Inside cover doc name"/>
    <w:basedOn w:val="Normal"/>
    <w:qFormat/>
    <w:rsid w:val="008220D8"/>
    <w:pPr>
      <w:spacing w:after="0" w:line="240" w:lineRule="auto"/>
    </w:pPr>
    <w:rPr>
      <w:b/>
      <w:color w:val="005A9B" w:themeColor="background2"/>
      <w:sz w:val="24"/>
    </w:rPr>
  </w:style>
  <w:style w:type="paragraph" w:customStyle="1" w:styleId="Insidecoverdocname2">
    <w:name w:val="Inside cover doc name 2"/>
    <w:basedOn w:val="Insidecoverdocname"/>
    <w:qFormat/>
    <w:rsid w:val="008220D8"/>
    <w:pPr>
      <w:spacing w:before="0"/>
    </w:pPr>
    <w:rPr>
      <w:b w:val="0"/>
      <w:sz w:val="22"/>
    </w:rPr>
  </w:style>
  <w:style w:type="paragraph" w:customStyle="1" w:styleId="Insidecovernormal">
    <w:name w:val="Inside cover normal"/>
    <w:basedOn w:val="Normal"/>
    <w:qFormat/>
    <w:rsid w:val="008220D8"/>
    <w:pPr>
      <w:spacing w:before="0" w:after="0" w:line="240" w:lineRule="auto"/>
    </w:pPr>
  </w:style>
  <w:style w:type="paragraph" w:customStyle="1" w:styleId="Insidecoverdateandauthority">
    <w:name w:val="Inside cover date and authority"/>
    <w:basedOn w:val="Normal"/>
    <w:qFormat/>
    <w:rsid w:val="008220D8"/>
    <w:pPr>
      <w:spacing w:before="0" w:after="0" w:line="240" w:lineRule="auto"/>
    </w:pPr>
    <w:rPr>
      <w:b/>
    </w:rPr>
  </w:style>
  <w:style w:type="character" w:customStyle="1" w:styleId="MCDEMfooterpagenumber">
    <w:name w:val="MCDEM footer page number"/>
    <w:basedOn w:val="DefaultParagraphFont"/>
    <w:rsid w:val="00006122"/>
    <w:rPr>
      <w:rFonts w:ascii="Arial" w:hAnsi="Arial"/>
      <w:b/>
      <w:sz w:val="18"/>
    </w:rPr>
  </w:style>
  <w:style w:type="paragraph" w:customStyle="1" w:styleId="Tablenormaltasksheet">
    <w:name w:val="Table normal task sheet"/>
    <w:basedOn w:val="Tablenormal0"/>
    <w:rsid w:val="00F82157"/>
    <w:pPr>
      <w:jc w:val="center"/>
    </w:pPr>
    <w:rPr>
      <w:rFonts w:eastAsia="Times New Roman"/>
      <w:szCs w:val="20"/>
    </w:rPr>
  </w:style>
  <w:style w:type="paragraph" w:customStyle="1" w:styleId="Appendix">
    <w:name w:val="Appendix"/>
    <w:basedOn w:val="Normal"/>
    <w:next w:val="Normal"/>
    <w:uiPriority w:val="99"/>
    <w:semiHidden/>
    <w:qFormat/>
    <w:rsid w:val="008220D8"/>
    <w:pPr>
      <w:pageBreakBefore/>
      <w:pBdr>
        <w:bottom w:val="single" w:sz="12" w:space="1" w:color="AFAFAF" w:themeColor="accent1"/>
      </w:pBdr>
      <w:tabs>
        <w:tab w:val="left" w:pos="2127"/>
      </w:tabs>
      <w:spacing w:before="280" w:after="0" w:line="240" w:lineRule="auto"/>
      <w:contextualSpacing/>
    </w:pPr>
    <w:rPr>
      <w:rFonts w:ascii="Arial Narrow" w:hAnsi="Arial Narrow"/>
      <w:b/>
      <w:color w:val="005A9B" w:themeColor="background2"/>
      <w:sz w:val="36"/>
      <w:szCs w:val="36"/>
    </w:rPr>
  </w:style>
  <w:style w:type="paragraph" w:customStyle="1" w:styleId="Appendixsub1">
    <w:name w:val="Appendix sub1"/>
    <w:basedOn w:val="Normal"/>
    <w:uiPriority w:val="99"/>
    <w:semiHidden/>
    <w:qFormat/>
    <w:rsid w:val="008220D8"/>
    <w:pPr>
      <w:keepNext/>
      <w:keepLines/>
      <w:spacing w:before="200" w:line="240" w:lineRule="auto"/>
      <w:contextualSpacing/>
    </w:pPr>
    <w:rPr>
      <w:rFonts w:eastAsiaTheme="majorEastAsia" w:cstheme="majorBidi"/>
      <w:b/>
      <w:bCs/>
      <w:color w:val="005A9B" w:themeColor="background2"/>
      <w:sz w:val="24"/>
      <w:szCs w:val="20"/>
    </w:rPr>
  </w:style>
  <w:style w:type="paragraph" w:styleId="DocumentMap">
    <w:name w:val="Document Map"/>
    <w:basedOn w:val="Normal"/>
    <w:link w:val="DocumentMapChar"/>
    <w:uiPriority w:val="99"/>
    <w:semiHidden/>
    <w:unhideWhenUsed/>
    <w:rsid w:val="00A63212"/>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63212"/>
    <w:rPr>
      <w:rFonts w:ascii="Tahoma" w:hAnsi="Tahoma" w:cs="Tahoma"/>
      <w:sz w:val="16"/>
      <w:szCs w:val="16"/>
    </w:rPr>
  </w:style>
  <w:style w:type="paragraph" w:customStyle="1" w:styleId="Titleacknowledementsnopagebreak">
    <w:name w:val="Title acknowledements no page break"/>
    <w:basedOn w:val="Titleforewordandcontents"/>
    <w:next w:val="Normal"/>
    <w:rsid w:val="00006122"/>
    <w:pPr>
      <w:pageBreakBefore w:val="0"/>
    </w:pPr>
  </w:style>
  <w:style w:type="paragraph" w:customStyle="1" w:styleId="Appendixheading4">
    <w:name w:val="Appendix heading 4"/>
    <w:basedOn w:val="Normal"/>
    <w:uiPriority w:val="99"/>
    <w:semiHidden/>
    <w:rsid w:val="00001C5C"/>
    <w:rPr>
      <w:rFonts w:ascii="Arial Narrow" w:hAnsi="Arial Narrow"/>
      <w:b/>
      <w:i/>
      <w:color w:val="005A9B" w:themeColor="background2"/>
      <w:sz w:val="24"/>
    </w:rPr>
  </w:style>
  <w:style w:type="table" w:customStyle="1" w:styleId="TableGrid1">
    <w:name w:val="Table Grid1"/>
    <w:basedOn w:val="TableNormal"/>
    <w:next w:val="TableGrid"/>
    <w:uiPriority w:val="59"/>
    <w:rsid w:val="00501E65"/>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 title"/>
    <w:basedOn w:val="Normal"/>
    <w:uiPriority w:val="99"/>
    <w:semiHidden/>
    <w:qFormat/>
    <w:rsid w:val="008220D8"/>
    <w:pPr>
      <w:spacing w:after="0"/>
    </w:pPr>
    <w:rPr>
      <w:b/>
    </w:rPr>
  </w:style>
  <w:style w:type="paragraph" w:customStyle="1" w:styleId="Legalnumbering">
    <w:name w:val="Legal numbering"/>
    <w:basedOn w:val="Normal"/>
    <w:uiPriority w:val="99"/>
    <w:qFormat/>
    <w:rsid w:val="008220D8"/>
    <w:pPr>
      <w:numPr>
        <w:numId w:val="9"/>
      </w:numPr>
      <w:spacing w:before="60" w:after="60"/>
    </w:pPr>
    <w:rPr>
      <w:bCs/>
    </w:rPr>
  </w:style>
  <w:style w:type="paragraph" w:customStyle="1" w:styleId="Titlesubheadingsnotforcontents">
    <w:name w:val="Title sub headings not for contents"/>
    <w:basedOn w:val="Normal"/>
    <w:next w:val="Normal"/>
    <w:qFormat/>
    <w:rsid w:val="008220D8"/>
    <w:pPr>
      <w:pBdr>
        <w:bottom w:val="single" w:sz="6" w:space="1" w:color="AFAFAF" w:themeColor="accent1"/>
      </w:pBdr>
    </w:pPr>
    <w:rPr>
      <w:rFonts w:cstheme="majorBidi"/>
      <w:b/>
      <w:color w:val="005A9B" w:themeColor="background2"/>
      <w:sz w:val="28"/>
    </w:rPr>
  </w:style>
  <w:style w:type="character" w:styleId="Emphasis">
    <w:name w:val="Emphasis"/>
    <w:basedOn w:val="DefaultParagraphFont"/>
    <w:uiPriority w:val="20"/>
    <w:semiHidden/>
    <w:qFormat/>
    <w:rsid w:val="008220D8"/>
    <w:rPr>
      <w:i/>
      <w:iCs/>
    </w:rPr>
  </w:style>
  <w:style w:type="paragraph" w:customStyle="1" w:styleId="Title2">
    <w:name w:val="Title 2"/>
    <w:basedOn w:val="Title"/>
    <w:next w:val="Normal"/>
    <w:qFormat/>
    <w:rsid w:val="008220D8"/>
    <w:rPr>
      <w:sz w:val="32"/>
    </w:rPr>
  </w:style>
  <w:style w:type="paragraph" w:customStyle="1" w:styleId="Legalnumberingsection">
    <w:name w:val="Legal numbering section"/>
    <w:basedOn w:val="Normal"/>
    <w:uiPriority w:val="99"/>
    <w:qFormat/>
    <w:rsid w:val="00936414"/>
    <w:pPr>
      <w:numPr>
        <w:numId w:val="10"/>
      </w:numPr>
      <w:spacing w:line="271" w:lineRule="auto"/>
    </w:pPr>
    <w:rPr>
      <w:b/>
    </w:rPr>
  </w:style>
  <w:style w:type="paragraph" w:customStyle="1" w:styleId="Default">
    <w:name w:val="Default"/>
    <w:rsid w:val="0031293A"/>
    <w:pPr>
      <w:autoSpaceDE w:val="0"/>
      <w:autoSpaceDN w:val="0"/>
      <w:adjustRightInd w:val="0"/>
    </w:pPr>
    <w:rPr>
      <w:rFonts w:ascii="Arial" w:hAnsi="Arial" w:cs="Arial"/>
      <w:color w:val="000000"/>
      <w:sz w:val="24"/>
      <w:szCs w:val="24"/>
    </w:rPr>
  </w:style>
  <w:style w:type="paragraph" w:customStyle="1" w:styleId="Client1">
    <w:name w:val="Client1"/>
    <w:basedOn w:val="Normal"/>
    <w:link w:val="Client1Char"/>
    <w:rsid w:val="00994F31"/>
    <w:pPr>
      <w:widowControl w:val="0"/>
      <w:numPr>
        <w:numId w:val="12"/>
      </w:numPr>
      <w:suppressAutoHyphens/>
      <w:spacing w:before="480" w:after="240" w:line="240" w:lineRule="auto"/>
    </w:pPr>
    <w:rPr>
      <w:rFonts w:eastAsia="Times New Roman"/>
      <w:b/>
      <w:caps/>
      <w:sz w:val="24"/>
      <w:szCs w:val="24"/>
      <w:lang w:val="en-GB" w:eastAsia="ar-SA"/>
    </w:rPr>
  </w:style>
  <w:style w:type="paragraph" w:customStyle="1" w:styleId="Client2">
    <w:name w:val="Client2"/>
    <w:basedOn w:val="Normal"/>
    <w:rsid w:val="00994F31"/>
    <w:pPr>
      <w:widowControl w:val="0"/>
      <w:numPr>
        <w:ilvl w:val="1"/>
        <w:numId w:val="12"/>
      </w:numPr>
      <w:suppressAutoHyphens/>
      <w:spacing w:before="0" w:after="240" w:line="240" w:lineRule="auto"/>
    </w:pPr>
    <w:rPr>
      <w:rFonts w:eastAsia="Times New Roman"/>
      <w:b/>
      <w:sz w:val="24"/>
      <w:szCs w:val="20"/>
      <w:lang w:val="en-GB" w:eastAsia="ar-SA"/>
    </w:rPr>
  </w:style>
  <w:style w:type="paragraph" w:customStyle="1" w:styleId="Client3">
    <w:name w:val="Client3"/>
    <w:basedOn w:val="Client2"/>
    <w:rsid w:val="00994F31"/>
    <w:pPr>
      <w:numPr>
        <w:ilvl w:val="2"/>
      </w:numPr>
    </w:pPr>
    <w:rPr>
      <w:sz w:val="22"/>
    </w:rPr>
  </w:style>
  <w:style w:type="character" w:customStyle="1" w:styleId="Client1Char">
    <w:name w:val="Client1 Char"/>
    <w:link w:val="Client1"/>
    <w:rsid w:val="00994F31"/>
    <w:rPr>
      <w:rFonts w:ascii="Arial" w:eastAsia="Times New Roman" w:hAnsi="Arial"/>
      <w:b/>
      <w:caps/>
      <w:sz w:val="24"/>
      <w:szCs w:val="24"/>
      <w:lang w:val="en-GB" w:eastAsia="ar-SA"/>
    </w:rPr>
  </w:style>
  <w:style w:type="character" w:styleId="FootnoteReference">
    <w:name w:val="footnote reference"/>
    <w:rsid w:val="00994F31"/>
    <w:rPr>
      <w:vertAlign w:val="superscript"/>
    </w:rPr>
  </w:style>
  <w:style w:type="paragraph" w:styleId="FootnoteText">
    <w:name w:val="footnote text"/>
    <w:basedOn w:val="Normal"/>
    <w:link w:val="FootnoteTextChar"/>
    <w:semiHidden/>
    <w:rsid w:val="00994F31"/>
    <w:pPr>
      <w:suppressAutoHyphens/>
      <w:spacing w:before="0" w:after="0" w:line="240" w:lineRule="auto"/>
    </w:pPr>
    <w:rPr>
      <w:rFonts w:ascii="Times New Roman" w:eastAsia="Times New Roman" w:hAnsi="Times New Roman"/>
      <w:sz w:val="20"/>
      <w:szCs w:val="20"/>
      <w:lang w:val="en-GB" w:eastAsia="ar-SA"/>
    </w:rPr>
  </w:style>
  <w:style w:type="character" w:customStyle="1" w:styleId="FootnoteTextChar">
    <w:name w:val="Footnote Text Char"/>
    <w:basedOn w:val="DefaultParagraphFont"/>
    <w:link w:val="FootnoteText"/>
    <w:semiHidden/>
    <w:rsid w:val="00994F31"/>
    <w:rPr>
      <w:rFonts w:ascii="Times New Roman" w:eastAsia="Times New Roman" w:hAnsi="Times New Roman"/>
      <w:lang w:val="en-GB" w:eastAsia="ar-SA"/>
    </w:rPr>
  </w:style>
  <w:style w:type="character" w:customStyle="1" w:styleId="WW8Num68z0">
    <w:name w:val="WW8Num68z0"/>
    <w:rsid w:val="00B52CEB"/>
    <w:rPr>
      <w:rFonts w:ascii="Symbol" w:hAnsi="Symbol"/>
    </w:rPr>
  </w:style>
  <w:style w:type="paragraph" w:customStyle="1" w:styleId="Clientbody">
    <w:name w:val="Clientbody"/>
    <w:basedOn w:val="Normal"/>
    <w:link w:val="ClientbodyChar2"/>
    <w:rsid w:val="00B52CEB"/>
    <w:pPr>
      <w:widowControl w:val="0"/>
      <w:suppressAutoHyphens/>
      <w:spacing w:before="0" w:after="0" w:line="280" w:lineRule="atLeast"/>
      <w:jc w:val="both"/>
    </w:pPr>
    <w:rPr>
      <w:rFonts w:eastAsia="Times New Roman"/>
      <w:szCs w:val="24"/>
      <w:lang w:val="en-GB" w:eastAsia="ar-SA"/>
    </w:rPr>
  </w:style>
  <w:style w:type="character" w:customStyle="1" w:styleId="ClientbodyChar2">
    <w:name w:val="Clientbody Char2"/>
    <w:link w:val="Clientbody"/>
    <w:rsid w:val="00B52CEB"/>
    <w:rPr>
      <w:rFonts w:ascii="Arial" w:eastAsia="Times New Roman" w:hAnsi="Arial"/>
      <w:sz w:val="22"/>
      <w:szCs w:val="24"/>
      <w:lang w:val="en-GB" w:eastAsia="ar-SA"/>
    </w:rPr>
  </w:style>
  <w:style w:type="character" w:customStyle="1" w:styleId="WW8Num20z0">
    <w:name w:val="WW8Num20z0"/>
    <w:rsid w:val="0057135A"/>
    <w:rPr>
      <w:rFonts w:ascii="Symbol" w:hAnsi="Symbol"/>
    </w:rPr>
  </w:style>
  <w:style w:type="table" w:customStyle="1" w:styleId="TableGrid2">
    <w:name w:val="Table Grid2"/>
    <w:basedOn w:val="TableNormal"/>
    <w:next w:val="TableGrid"/>
    <w:uiPriority w:val="59"/>
    <w:rsid w:val="009B1F44"/>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Figure">
    <w:name w:val="Caption Figure"/>
    <w:next w:val="Normal"/>
    <w:link w:val="CaptionFigureChar"/>
    <w:qFormat/>
    <w:rsid w:val="006C5656"/>
    <w:pPr>
      <w:tabs>
        <w:tab w:val="left" w:pos="1134"/>
      </w:tabs>
      <w:spacing w:before="120" w:after="120"/>
      <w:jc w:val="both"/>
    </w:pPr>
    <w:rPr>
      <w:rFonts w:ascii="Arial" w:eastAsia="Times New Roman" w:hAnsi="Arial" w:cs="Arial"/>
      <w:bCs/>
      <w:kern w:val="32"/>
      <w:sz w:val="18"/>
      <w:szCs w:val="18"/>
      <w:lang w:eastAsia="en-AU"/>
    </w:rPr>
  </w:style>
  <w:style w:type="character" w:customStyle="1" w:styleId="CaptionFigureChar">
    <w:name w:val="Caption Figure Char"/>
    <w:link w:val="CaptionFigure"/>
    <w:rsid w:val="006C5656"/>
    <w:rPr>
      <w:rFonts w:ascii="Arial" w:eastAsia="Times New Roman" w:hAnsi="Arial" w:cs="Arial"/>
      <w:bCs/>
      <w:kern w:val="32"/>
      <w:sz w:val="18"/>
      <w:szCs w:val="18"/>
      <w:lang w:eastAsia="en-AU"/>
    </w:rPr>
  </w:style>
  <w:style w:type="paragraph" w:customStyle="1" w:styleId="Figures">
    <w:name w:val="Figures"/>
    <w:basedOn w:val="Normal"/>
    <w:next w:val="Normal"/>
    <w:rsid w:val="006C5656"/>
    <w:pPr>
      <w:keepNext/>
      <w:spacing w:before="220" w:after="0" w:line="240" w:lineRule="auto"/>
      <w:jc w:val="center"/>
    </w:pPr>
    <w:rPr>
      <w:rFonts w:eastAsia="Times New Roman"/>
      <w:lang w:eastAsia="en-AU"/>
    </w:rPr>
  </w:style>
  <w:style w:type="paragraph" w:customStyle="1" w:styleId="Figure">
    <w:name w:val="Figure"/>
    <w:basedOn w:val="Clientbody"/>
    <w:rsid w:val="00F16B7D"/>
    <w:pPr>
      <w:numPr>
        <w:numId w:val="37"/>
      </w:numPr>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65513">
      <w:bodyDiv w:val="1"/>
      <w:marLeft w:val="0"/>
      <w:marRight w:val="0"/>
      <w:marTop w:val="0"/>
      <w:marBottom w:val="0"/>
      <w:divBdr>
        <w:top w:val="none" w:sz="0" w:space="0" w:color="auto"/>
        <w:left w:val="none" w:sz="0" w:space="0" w:color="auto"/>
        <w:bottom w:val="none" w:sz="0" w:space="0" w:color="auto"/>
        <w:right w:val="none" w:sz="0" w:space="0" w:color="auto"/>
      </w:divBdr>
      <w:divsChild>
        <w:div w:id="1307709031">
          <w:marLeft w:val="0"/>
          <w:marRight w:val="0"/>
          <w:marTop w:val="0"/>
          <w:marBottom w:val="0"/>
          <w:divBdr>
            <w:top w:val="none" w:sz="0" w:space="0" w:color="auto"/>
            <w:left w:val="none" w:sz="0" w:space="0" w:color="auto"/>
            <w:bottom w:val="none" w:sz="0" w:space="0" w:color="auto"/>
            <w:right w:val="none" w:sz="0" w:space="0" w:color="auto"/>
          </w:divBdr>
          <w:divsChild>
            <w:div w:id="24530411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06374894">
      <w:bodyDiv w:val="1"/>
      <w:marLeft w:val="0"/>
      <w:marRight w:val="0"/>
      <w:marTop w:val="0"/>
      <w:marBottom w:val="0"/>
      <w:divBdr>
        <w:top w:val="none" w:sz="0" w:space="0" w:color="auto"/>
        <w:left w:val="none" w:sz="0" w:space="0" w:color="auto"/>
        <w:bottom w:val="none" w:sz="0" w:space="0" w:color="auto"/>
        <w:right w:val="none" w:sz="0" w:space="0" w:color="auto"/>
      </w:divBdr>
      <w:divsChild>
        <w:div w:id="1556626960">
          <w:marLeft w:val="0"/>
          <w:marRight w:val="0"/>
          <w:marTop w:val="0"/>
          <w:marBottom w:val="0"/>
          <w:divBdr>
            <w:top w:val="none" w:sz="0" w:space="0" w:color="auto"/>
            <w:left w:val="none" w:sz="0" w:space="0" w:color="auto"/>
            <w:bottom w:val="none" w:sz="0" w:space="0" w:color="auto"/>
            <w:right w:val="none" w:sz="0" w:space="0" w:color="auto"/>
          </w:divBdr>
          <w:divsChild>
            <w:div w:id="1138840948">
              <w:marLeft w:val="0"/>
              <w:marRight w:val="0"/>
              <w:marTop w:val="0"/>
              <w:marBottom w:val="0"/>
              <w:divBdr>
                <w:top w:val="none" w:sz="0" w:space="0" w:color="auto"/>
                <w:left w:val="none" w:sz="0" w:space="0" w:color="auto"/>
                <w:bottom w:val="none" w:sz="0" w:space="0" w:color="auto"/>
                <w:right w:val="none" w:sz="0" w:space="0" w:color="auto"/>
              </w:divBdr>
              <w:divsChild>
                <w:div w:id="1335498051">
                  <w:marLeft w:val="0"/>
                  <w:marRight w:val="0"/>
                  <w:marTop w:val="0"/>
                  <w:marBottom w:val="0"/>
                  <w:divBdr>
                    <w:top w:val="none" w:sz="0" w:space="0" w:color="auto"/>
                    <w:left w:val="none" w:sz="0" w:space="0" w:color="auto"/>
                    <w:bottom w:val="none" w:sz="0" w:space="0" w:color="auto"/>
                    <w:right w:val="none" w:sz="0" w:space="0" w:color="auto"/>
                  </w:divBdr>
                  <w:divsChild>
                    <w:div w:id="513541823">
                      <w:marLeft w:val="0"/>
                      <w:marRight w:val="0"/>
                      <w:marTop w:val="0"/>
                      <w:marBottom w:val="0"/>
                      <w:divBdr>
                        <w:top w:val="none" w:sz="0" w:space="0" w:color="auto"/>
                        <w:left w:val="none" w:sz="0" w:space="0" w:color="auto"/>
                        <w:bottom w:val="none" w:sz="0" w:space="0" w:color="auto"/>
                        <w:right w:val="none" w:sz="0" w:space="0" w:color="auto"/>
                      </w:divBdr>
                      <w:divsChild>
                        <w:div w:id="63032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219737">
      <w:bodyDiv w:val="1"/>
      <w:marLeft w:val="0"/>
      <w:marRight w:val="0"/>
      <w:marTop w:val="0"/>
      <w:marBottom w:val="0"/>
      <w:divBdr>
        <w:top w:val="none" w:sz="0" w:space="0" w:color="auto"/>
        <w:left w:val="none" w:sz="0" w:space="0" w:color="auto"/>
        <w:bottom w:val="none" w:sz="0" w:space="0" w:color="auto"/>
        <w:right w:val="none" w:sz="0" w:space="0" w:color="auto"/>
      </w:divBdr>
      <w:divsChild>
        <w:div w:id="626198629">
          <w:marLeft w:val="0"/>
          <w:marRight w:val="0"/>
          <w:marTop w:val="0"/>
          <w:marBottom w:val="0"/>
          <w:divBdr>
            <w:top w:val="none" w:sz="0" w:space="0" w:color="auto"/>
            <w:left w:val="none" w:sz="0" w:space="0" w:color="auto"/>
            <w:bottom w:val="none" w:sz="0" w:space="0" w:color="auto"/>
            <w:right w:val="none" w:sz="0" w:space="0" w:color="auto"/>
          </w:divBdr>
          <w:divsChild>
            <w:div w:id="206064419">
              <w:marLeft w:val="0"/>
              <w:marRight w:val="0"/>
              <w:marTop w:val="0"/>
              <w:marBottom w:val="0"/>
              <w:divBdr>
                <w:top w:val="none" w:sz="0" w:space="0" w:color="auto"/>
                <w:left w:val="none" w:sz="0" w:space="0" w:color="auto"/>
                <w:bottom w:val="none" w:sz="0" w:space="0" w:color="auto"/>
                <w:right w:val="none" w:sz="0" w:space="0" w:color="auto"/>
              </w:divBdr>
              <w:divsChild>
                <w:div w:id="123891413">
                  <w:marLeft w:val="0"/>
                  <w:marRight w:val="0"/>
                  <w:marTop w:val="0"/>
                  <w:marBottom w:val="0"/>
                  <w:divBdr>
                    <w:top w:val="none" w:sz="0" w:space="0" w:color="auto"/>
                    <w:left w:val="none" w:sz="0" w:space="0" w:color="auto"/>
                    <w:bottom w:val="none" w:sz="0" w:space="0" w:color="auto"/>
                    <w:right w:val="none" w:sz="0" w:space="0" w:color="auto"/>
                  </w:divBdr>
                  <w:divsChild>
                    <w:div w:id="4633508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46809375">
      <w:bodyDiv w:val="1"/>
      <w:marLeft w:val="0"/>
      <w:marRight w:val="0"/>
      <w:marTop w:val="0"/>
      <w:marBottom w:val="0"/>
      <w:divBdr>
        <w:top w:val="none" w:sz="0" w:space="0" w:color="auto"/>
        <w:left w:val="none" w:sz="0" w:space="0" w:color="auto"/>
        <w:bottom w:val="none" w:sz="0" w:space="0" w:color="auto"/>
        <w:right w:val="none" w:sz="0" w:space="0" w:color="auto"/>
      </w:divBdr>
      <w:divsChild>
        <w:div w:id="1404527977">
          <w:marLeft w:val="0"/>
          <w:marRight w:val="0"/>
          <w:marTop w:val="0"/>
          <w:marBottom w:val="0"/>
          <w:divBdr>
            <w:top w:val="none" w:sz="0" w:space="0" w:color="auto"/>
            <w:left w:val="none" w:sz="0" w:space="0" w:color="auto"/>
            <w:bottom w:val="none" w:sz="0" w:space="0" w:color="auto"/>
            <w:right w:val="none" w:sz="0" w:space="0" w:color="auto"/>
          </w:divBdr>
          <w:divsChild>
            <w:div w:id="1707440916">
              <w:marLeft w:val="0"/>
              <w:marRight w:val="0"/>
              <w:marTop w:val="0"/>
              <w:marBottom w:val="0"/>
              <w:divBdr>
                <w:top w:val="none" w:sz="0" w:space="0" w:color="auto"/>
                <w:left w:val="none" w:sz="0" w:space="0" w:color="auto"/>
                <w:bottom w:val="none" w:sz="0" w:space="0" w:color="auto"/>
                <w:right w:val="none" w:sz="0" w:space="0" w:color="auto"/>
              </w:divBdr>
              <w:divsChild>
                <w:div w:id="498547907">
                  <w:marLeft w:val="0"/>
                  <w:marRight w:val="0"/>
                  <w:marTop w:val="0"/>
                  <w:marBottom w:val="0"/>
                  <w:divBdr>
                    <w:top w:val="none" w:sz="0" w:space="0" w:color="auto"/>
                    <w:left w:val="none" w:sz="0" w:space="0" w:color="auto"/>
                    <w:bottom w:val="none" w:sz="0" w:space="0" w:color="auto"/>
                    <w:right w:val="none" w:sz="0" w:space="0" w:color="auto"/>
                  </w:divBdr>
                </w:div>
                <w:div w:id="1297296500">
                  <w:marLeft w:val="0"/>
                  <w:marRight w:val="0"/>
                  <w:marTop w:val="0"/>
                  <w:marBottom w:val="0"/>
                  <w:divBdr>
                    <w:top w:val="none" w:sz="0" w:space="0" w:color="auto"/>
                    <w:left w:val="none" w:sz="0" w:space="0" w:color="auto"/>
                    <w:bottom w:val="none" w:sz="0" w:space="0" w:color="auto"/>
                    <w:right w:val="none" w:sz="0" w:space="0" w:color="auto"/>
                  </w:divBdr>
                  <w:divsChild>
                    <w:div w:id="620310190">
                      <w:marLeft w:val="0"/>
                      <w:marRight w:val="0"/>
                      <w:marTop w:val="0"/>
                      <w:marBottom w:val="0"/>
                      <w:divBdr>
                        <w:top w:val="none" w:sz="0" w:space="0" w:color="auto"/>
                        <w:left w:val="none" w:sz="0" w:space="0" w:color="auto"/>
                        <w:bottom w:val="none" w:sz="0" w:space="0" w:color="auto"/>
                        <w:right w:val="none" w:sz="0" w:space="0" w:color="auto"/>
                      </w:divBdr>
                      <w:divsChild>
                        <w:div w:id="401222333">
                          <w:marLeft w:val="0"/>
                          <w:marRight w:val="0"/>
                          <w:marTop w:val="240"/>
                          <w:marBottom w:val="240"/>
                          <w:divBdr>
                            <w:top w:val="none" w:sz="0" w:space="0" w:color="auto"/>
                            <w:left w:val="none" w:sz="0" w:space="0" w:color="auto"/>
                            <w:bottom w:val="none" w:sz="0" w:space="0" w:color="auto"/>
                            <w:right w:val="none" w:sz="0" w:space="0" w:color="auto"/>
                          </w:divBdr>
                          <w:divsChild>
                            <w:div w:id="1209876138">
                              <w:marLeft w:val="0"/>
                              <w:marRight w:val="0"/>
                              <w:marTop w:val="0"/>
                              <w:marBottom w:val="0"/>
                              <w:divBdr>
                                <w:top w:val="none" w:sz="0" w:space="0" w:color="auto"/>
                                <w:left w:val="none" w:sz="0" w:space="0" w:color="auto"/>
                                <w:bottom w:val="none" w:sz="0" w:space="0" w:color="auto"/>
                                <w:right w:val="none" w:sz="0" w:space="0" w:color="auto"/>
                              </w:divBdr>
                              <w:divsChild>
                                <w:div w:id="83113813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811562598">
                      <w:marLeft w:val="0"/>
                      <w:marRight w:val="0"/>
                      <w:marTop w:val="0"/>
                      <w:marBottom w:val="0"/>
                      <w:divBdr>
                        <w:top w:val="none" w:sz="0" w:space="0" w:color="auto"/>
                        <w:left w:val="none" w:sz="0" w:space="0" w:color="auto"/>
                        <w:bottom w:val="none" w:sz="0" w:space="0" w:color="auto"/>
                        <w:right w:val="none" w:sz="0" w:space="0" w:color="auto"/>
                      </w:divBdr>
                      <w:divsChild>
                        <w:div w:id="152227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664749">
      <w:bodyDiv w:val="1"/>
      <w:marLeft w:val="0"/>
      <w:marRight w:val="0"/>
      <w:marTop w:val="0"/>
      <w:marBottom w:val="0"/>
      <w:divBdr>
        <w:top w:val="none" w:sz="0" w:space="0" w:color="auto"/>
        <w:left w:val="none" w:sz="0" w:space="0" w:color="auto"/>
        <w:bottom w:val="none" w:sz="0" w:space="0" w:color="auto"/>
        <w:right w:val="none" w:sz="0" w:space="0" w:color="auto"/>
      </w:divBdr>
      <w:divsChild>
        <w:div w:id="431053407">
          <w:marLeft w:val="0"/>
          <w:marRight w:val="0"/>
          <w:marTop w:val="0"/>
          <w:marBottom w:val="0"/>
          <w:divBdr>
            <w:top w:val="none" w:sz="0" w:space="0" w:color="auto"/>
            <w:left w:val="none" w:sz="0" w:space="0" w:color="auto"/>
            <w:bottom w:val="none" w:sz="0" w:space="0" w:color="auto"/>
            <w:right w:val="none" w:sz="0" w:space="0" w:color="auto"/>
          </w:divBdr>
          <w:divsChild>
            <w:div w:id="1646619806">
              <w:marLeft w:val="0"/>
              <w:marRight w:val="0"/>
              <w:marTop w:val="0"/>
              <w:marBottom w:val="0"/>
              <w:divBdr>
                <w:top w:val="none" w:sz="0" w:space="0" w:color="auto"/>
                <w:left w:val="none" w:sz="0" w:space="0" w:color="auto"/>
                <w:bottom w:val="none" w:sz="0" w:space="0" w:color="auto"/>
                <w:right w:val="none" w:sz="0" w:space="0" w:color="auto"/>
              </w:divBdr>
              <w:divsChild>
                <w:div w:id="1592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331956">
      <w:bodyDiv w:val="1"/>
      <w:marLeft w:val="0"/>
      <w:marRight w:val="0"/>
      <w:marTop w:val="0"/>
      <w:marBottom w:val="0"/>
      <w:divBdr>
        <w:top w:val="none" w:sz="0" w:space="0" w:color="auto"/>
        <w:left w:val="none" w:sz="0" w:space="0" w:color="auto"/>
        <w:bottom w:val="none" w:sz="0" w:space="0" w:color="auto"/>
        <w:right w:val="none" w:sz="0" w:space="0" w:color="auto"/>
      </w:divBdr>
      <w:divsChild>
        <w:div w:id="506988105">
          <w:marLeft w:val="0"/>
          <w:marRight w:val="0"/>
          <w:marTop w:val="0"/>
          <w:marBottom w:val="0"/>
          <w:divBdr>
            <w:top w:val="none" w:sz="0" w:space="0" w:color="auto"/>
            <w:left w:val="none" w:sz="0" w:space="0" w:color="auto"/>
            <w:bottom w:val="none" w:sz="0" w:space="0" w:color="auto"/>
            <w:right w:val="none" w:sz="0" w:space="0" w:color="auto"/>
          </w:divBdr>
          <w:divsChild>
            <w:div w:id="1953124578">
              <w:marLeft w:val="0"/>
              <w:marRight w:val="0"/>
              <w:marTop w:val="0"/>
              <w:marBottom w:val="0"/>
              <w:divBdr>
                <w:top w:val="none" w:sz="0" w:space="0" w:color="auto"/>
                <w:left w:val="none" w:sz="0" w:space="0" w:color="auto"/>
                <w:bottom w:val="none" w:sz="0" w:space="0" w:color="auto"/>
                <w:right w:val="none" w:sz="0" w:space="0" w:color="auto"/>
              </w:divBdr>
              <w:divsChild>
                <w:div w:id="198673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30470">
      <w:bodyDiv w:val="1"/>
      <w:marLeft w:val="0"/>
      <w:marRight w:val="0"/>
      <w:marTop w:val="0"/>
      <w:marBottom w:val="0"/>
      <w:divBdr>
        <w:top w:val="none" w:sz="0" w:space="0" w:color="auto"/>
        <w:left w:val="none" w:sz="0" w:space="0" w:color="auto"/>
        <w:bottom w:val="none" w:sz="0" w:space="0" w:color="auto"/>
        <w:right w:val="none" w:sz="0" w:space="0" w:color="auto"/>
      </w:divBdr>
    </w:div>
    <w:div w:id="917136521">
      <w:bodyDiv w:val="1"/>
      <w:marLeft w:val="0"/>
      <w:marRight w:val="0"/>
      <w:marTop w:val="0"/>
      <w:marBottom w:val="0"/>
      <w:divBdr>
        <w:top w:val="none" w:sz="0" w:space="0" w:color="auto"/>
        <w:left w:val="none" w:sz="0" w:space="0" w:color="auto"/>
        <w:bottom w:val="none" w:sz="0" w:space="0" w:color="auto"/>
        <w:right w:val="none" w:sz="0" w:space="0" w:color="auto"/>
      </w:divBdr>
    </w:div>
    <w:div w:id="1078750071">
      <w:bodyDiv w:val="1"/>
      <w:marLeft w:val="0"/>
      <w:marRight w:val="0"/>
      <w:marTop w:val="0"/>
      <w:marBottom w:val="0"/>
      <w:divBdr>
        <w:top w:val="none" w:sz="0" w:space="0" w:color="auto"/>
        <w:left w:val="none" w:sz="0" w:space="0" w:color="auto"/>
        <w:bottom w:val="none" w:sz="0" w:space="0" w:color="auto"/>
        <w:right w:val="none" w:sz="0" w:space="0" w:color="auto"/>
      </w:divBdr>
      <w:divsChild>
        <w:div w:id="1401714865">
          <w:marLeft w:val="0"/>
          <w:marRight w:val="0"/>
          <w:marTop w:val="0"/>
          <w:marBottom w:val="0"/>
          <w:divBdr>
            <w:top w:val="none" w:sz="0" w:space="0" w:color="auto"/>
            <w:left w:val="none" w:sz="0" w:space="0" w:color="auto"/>
            <w:bottom w:val="none" w:sz="0" w:space="0" w:color="auto"/>
            <w:right w:val="none" w:sz="0" w:space="0" w:color="auto"/>
          </w:divBdr>
          <w:divsChild>
            <w:div w:id="2139714387">
              <w:marLeft w:val="0"/>
              <w:marRight w:val="0"/>
              <w:marTop w:val="0"/>
              <w:marBottom w:val="0"/>
              <w:divBdr>
                <w:top w:val="none" w:sz="0" w:space="0" w:color="auto"/>
                <w:left w:val="none" w:sz="0" w:space="0" w:color="auto"/>
                <w:bottom w:val="none" w:sz="0" w:space="0" w:color="auto"/>
                <w:right w:val="none" w:sz="0" w:space="0" w:color="auto"/>
              </w:divBdr>
              <w:divsChild>
                <w:div w:id="2113937337">
                  <w:marLeft w:val="0"/>
                  <w:marRight w:val="0"/>
                  <w:marTop w:val="0"/>
                  <w:marBottom w:val="0"/>
                  <w:divBdr>
                    <w:top w:val="none" w:sz="0" w:space="0" w:color="auto"/>
                    <w:left w:val="none" w:sz="0" w:space="0" w:color="auto"/>
                    <w:bottom w:val="none" w:sz="0" w:space="0" w:color="auto"/>
                    <w:right w:val="none" w:sz="0" w:space="0" w:color="auto"/>
                  </w:divBdr>
                  <w:divsChild>
                    <w:div w:id="176626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046531">
      <w:bodyDiv w:val="1"/>
      <w:marLeft w:val="0"/>
      <w:marRight w:val="0"/>
      <w:marTop w:val="0"/>
      <w:marBottom w:val="0"/>
      <w:divBdr>
        <w:top w:val="none" w:sz="0" w:space="0" w:color="auto"/>
        <w:left w:val="none" w:sz="0" w:space="0" w:color="auto"/>
        <w:bottom w:val="none" w:sz="0" w:space="0" w:color="auto"/>
        <w:right w:val="none" w:sz="0" w:space="0" w:color="auto"/>
      </w:divBdr>
      <w:divsChild>
        <w:div w:id="257032637">
          <w:marLeft w:val="0"/>
          <w:marRight w:val="0"/>
          <w:marTop w:val="0"/>
          <w:marBottom w:val="0"/>
          <w:divBdr>
            <w:top w:val="none" w:sz="0" w:space="0" w:color="auto"/>
            <w:left w:val="none" w:sz="0" w:space="0" w:color="auto"/>
            <w:bottom w:val="none" w:sz="0" w:space="0" w:color="auto"/>
            <w:right w:val="none" w:sz="0" w:space="0" w:color="auto"/>
          </w:divBdr>
          <w:divsChild>
            <w:div w:id="1465080261">
              <w:marLeft w:val="0"/>
              <w:marRight w:val="0"/>
              <w:marTop w:val="0"/>
              <w:marBottom w:val="0"/>
              <w:divBdr>
                <w:top w:val="none" w:sz="0" w:space="0" w:color="auto"/>
                <w:left w:val="none" w:sz="0" w:space="0" w:color="auto"/>
                <w:bottom w:val="none" w:sz="0" w:space="0" w:color="auto"/>
                <w:right w:val="none" w:sz="0" w:space="0" w:color="auto"/>
              </w:divBdr>
              <w:divsChild>
                <w:div w:id="380132674">
                  <w:marLeft w:val="0"/>
                  <w:marRight w:val="0"/>
                  <w:marTop w:val="0"/>
                  <w:marBottom w:val="0"/>
                  <w:divBdr>
                    <w:top w:val="none" w:sz="0" w:space="0" w:color="auto"/>
                    <w:left w:val="none" w:sz="0" w:space="0" w:color="auto"/>
                    <w:bottom w:val="none" w:sz="0" w:space="0" w:color="auto"/>
                    <w:right w:val="none" w:sz="0" w:space="0" w:color="auto"/>
                  </w:divBdr>
                  <w:divsChild>
                    <w:div w:id="7130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184107">
      <w:bodyDiv w:val="1"/>
      <w:marLeft w:val="0"/>
      <w:marRight w:val="0"/>
      <w:marTop w:val="0"/>
      <w:marBottom w:val="0"/>
      <w:divBdr>
        <w:top w:val="none" w:sz="0" w:space="0" w:color="auto"/>
        <w:left w:val="none" w:sz="0" w:space="0" w:color="auto"/>
        <w:bottom w:val="none" w:sz="0" w:space="0" w:color="auto"/>
        <w:right w:val="none" w:sz="0" w:space="0" w:color="auto"/>
      </w:divBdr>
      <w:divsChild>
        <w:div w:id="800656954">
          <w:marLeft w:val="0"/>
          <w:marRight w:val="0"/>
          <w:marTop w:val="0"/>
          <w:marBottom w:val="0"/>
          <w:divBdr>
            <w:top w:val="single" w:sz="6" w:space="15" w:color="C9C9C9"/>
            <w:left w:val="single" w:sz="6" w:space="15" w:color="C9C9C9"/>
            <w:bottom w:val="single" w:sz="6" w:space="15" w:color="C9C9C9"/>
            <w:right w:val="single" w:sz="6" w:space="15" w:color="C9C9C9"/>
          </w:divBdr>
        </w:div>
      </w:divsChild>
    </w:div>
    <w:div w:id="1268461469">
      <w:bodyDiv w:val="1"/>
      <w:marLeft w:val="0"/>
      <w:marRight w:val="0"/>
      <w:marTop w:val="0"/>
      <w:marBottom w:val="0"/>
      <w:divBdr>
        <w:top w:val="none" w:sz="0" w:space="0" w:color="auto"/>
        <w:left w:val="none" w:sz="0" w:space="0" w:color="auto"/>
        <w:bottom w:val="none" w:sz="0" w:space="0" w:color="auto"/>
        <w:right w:val="none" w:sz="0" w:space="0" w:color="auto"/>
      </w:divBdr>
    </w:div>
    <w:div w:id="1290938351">
      <w:bodyDiv w:val="1"/>
      <w:marLeft w:val="0"/>
      <w:marRight w:val="0"/>
      <w:marTop w:val="0"/>
      <w:marBottom w:val="0"/>
      <w:divBdr>
        <w:top w:val="none" w:sz="0" w:space="0" w:color="auto"/>
        <w:left w:val="none" w:sz="0" w:space="0" w:color="auto"/>
        <w:bottom w:val="none" w:sz="0" w:space="0" w:color="auto"/>
        <w:right w:val="none" w:sz="0" w:space="0" w:color="auto"/>
      </w:divBdr>
    </w:div>
    <w:div w:id="1291128440">
      <w:bodyDiv w:val="1"/>
      <w:marLeft w:val="0"/>
      <w:marRight w:val="0"/>
      <w:marTop w:val="0"/>
      <w:marBottom w:val="0"/>
      <w:divBdr>
        <w:top w:val="none" w:sz="0" w:space="0" w:color="auto"/>
        <w:left w:val="none" w:sz="0" w:space="0" w:color="auto"/>
        <w:bottom w:val="none" w:sz="0" w:space="0" w:color="auto"/>
        <w:right w:val="none" w:sz="0" w:space="0" w:color="auto"/>
      </w:divBdr>
    </w:div>
    <w:div w:id="1422264372">
      <w:bodyDiv w:val="1"/>
      <w:marLeft w:val="0"/>
      <w:marRight w:val="0"/>
      <w:marTop w:val="0"/>
      <w:marBottom w:val="0"/>
      <w:divBdr>
        <w:top w:val="none" w:sz="0" w:space="0" w:color="auto"/>
        <w:left w:val="none" w:sz="0" w:space="0" w:color="auto"/>
        <w:bottom w:val="none" w:sz="0" w:space="0" w:color="auto"/>
        <w:right w:val="none" w:sz="0" w:space="0" w:color="auto"/>
      </w:divBdr>
      <w:divsChild>
        <w:div w:id="605233203">
          <w:marLeft w:val="0"/>
          <w:marRight w:val="0"/>
          <w:marTop w:val="0"/>
          <w:marBottom w:val="0"/>
          <w:divBdr>
            <w:top w:val="none" w:sz="0" w:space="0" w:color="auto"/>
            <w:left w:val="none" w:sz="0" w:space="0" w:color="auto"/>
            <w:bottom w:val="none" w:sz="0" w:space="0" w:color="auto"/>
            <w:right w:val="none" w:sz="0" w:space="0" w:color="auto"/>
          </w:divBdr>
          <w:divsChild>
            <w:div w:id="755322663">
              <w:marLeft w:val="0"/>
              <w:marRight w:val="0"/>
              <w:marTop w:val="0"/>
              <w:marBottom w:val="0"/>
              <w:divBdr>
                <w:top w:val="none" w:sz="0" w:space="0" w:color="auto"/>
                <w:left w:val="none" w:sz="0" w:space="0" w:color="auto"/>
                <w:bottom w:val="none" w:sz="0" w:space="0" w:color="auto"/>
                <w:right w:val="none" w:sz="0" w:space="0" w:color="auto"/>
              </w:divBdr>
              <w:divsChild>
                <w:div w:id="197621496">
                  <w:marLeft w:val="0"/>
                  <w:marRight w:val="0"/>
                  <w:marTop w:val="0"/>
                  <w:marBottom w:val="0"/>
                  <w:divBdr>
                    <w:top w:val="none" w:sz="0" w:space="0" w:color="auto"/>
                    <w:left w:val="none" w:sz="0" w:space="0" w:color="auto"/>
                    <w:bottom w:val="none" w:sz="0" w:space="0" w:color="auto"/>
                    <w:right w:val="none" w:sz="0" w:space="0" w:color="auto"/>
                  </w:divBdr>
                  <w:divsChild>
                    <w:div w:id="11472364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47575468">
      <w:bodyDiv w:val="1"/>
      <w:marLeft w:val="0"/>
      <w:marRight w:val="0"/>
      <w:marTop w:val="0"/>
      <w:marBottom w:val="0"/>
      <w:divBdr>
        <w:top w:val="none" w:sz="0" w:space="0" w:color="auto"/>
        <w:left w:val="none" w:sz="0" w:space="0" w:color="auto"/>
        <w:bottom w:val="none" w:sz="0" w:space="0" w:color="auto"/>
        <w:right w:val="none" w:sz="0" w:space="0" w:color="auto"/>
      </w:divBdr>
      <w:divsChild>
        <w:div w:id="321929786">
          <w:marLeft w:val="0"/>
          <w:marRight w:val="0"/>
          <w:marTop w:val="0"/>
          <w:marBottom w:val="0"/>
          <w:divBdr>
            <w:top w:val="none" w:sz="0" w:space="0" w:color="auto"/>
            <w:left w:val="none" w:sz="0" w:space="0" w:color="auto"/>
            <w:bottom w:val="none" w:sz="0" w:space="0" w:color="auto"/>
            <w:right w:val="none" w:sz="0" w:space="0" w:color="auto"/>
          </w:divBdr>
          <w:divsChild>
            <w:div w:id="43188281">
              <w:marLeft w:val="0"/>
              <w:marRight w:val="0"/>
              <w:marTop w:val="0"/>
              <w:marBottom w:val="0"/>
              <w:divBdr>
                <w:top w:val="none" w:sz="0" w:space="0" w:color="auto"/>
                <w:left w:val="none" w:sz="0" w:space="0" w:color="auto"/>
                <w:bottom w:val="none" w:sz="0" w:space="0" w:color="auto"/>
                <w:right w:val="none" w:sz="0" w:space="0" w:color="auto"/>
              </w:divBdr>
              <w:divsChild>
                <w:div w:id="1107575639">
                  <w:marLeft w:val="0"/>
                  <w:marRight w:val="0"/>
                  <w:marTop w:val="0"/>
                  <w:marBottom w:val="0"/>
                  <w:divBdr>
                    <w:top w:val="none" w:sz="0" w:space="0" w:color="auto"/>
                    <w:left w:val="none" w:sz="0" w:space="0" w:color="auto"/>
                    <w:bottom w:val="none" w:sz="0" w:space="0" w:color="auto"/>
                    <w:right w:val="none" w:sz="0" w:space="0" w:color="auto"/>
                  </w:divBdr>
                  <w:divsChild>
                    <w:div w:id="409469473">
                      <w:marLeft w:val="0"/>
                      <w:marRight w:val="0"/>
                      <w:marTop w:val="0"/>
                      <w:marBottom w:val="0"/>
                      <w:divBdr>
                        <w:top w:val="none" w:sz="0" w:space="0" w:color="auto"/>
                        <w:left w:val="none" w:sz="0" w:space="0" w:color="auto"/>
                        <w:bottom w:val="none" w:sz="0" w:space="0" w:color="auto"/>
                        <w:right w:val="none" w:sz="0" w:space="0" w:color="auto"/>
                      </w:divBdr>
                      <w:divsChild>
                        <w:div w:id="15055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789574">
      <w:bodyDiv w:val="1"/>
      <w:marLeft w:val="0"/>
      <w:marRight w:val="0"/>
      <w:marTop w:val="0"/>
      <w:marBottom w:val="0"/>
      <w:divBdr>
        <w:top w:val="none" w:sz="0" w:space="0" w:color="auto"/>
        <w:left w:val="none" w:sz="0" w:space="0" w:color="auto"/>
        <w:bottom w:val="none" w:sz="0" w:space="0" w:color="auto"/>
        <w:right w:val="none" w:sz="0" w:space="0" w:color="auto"/>
      </w:divBdr>
    </w:div>
    <w:div w:id="1544292693">
      <w:bodyDiv w:val="1"/>
      <w:marLeft w:val="0"/>
      <w:marRight w:val="0"/>
      <w:marTop w:val="0"/>
      <w:marBottom w:val="0"/>
      <w:divBdr>
        <w:top w:val="none" w:sz="0" w:space="0" w:color="auto"/>
        <w:left w:val="none" w:sz="0" w:space="0" w:color="auto"/>
        <w:bottom w:val="none" w:sz="0" w:space="0" w:color="auto"/>
        <w:right w:val="none" w:sz="0" w:space="0" w:color="auto"/>
      </w:divBdr>
    </w:div>
    <w:div w:id="1679893618">
      <w:bodyDiv w:val="1"/>
      <w:marLeft w:val="0"/>
      <w:marRight w:val="0"/>
      <w:marTop w:val="0"/>
      <w:marBottom w:val="0"/>
      <w:divBdr>
        <w:top w:val="none" w:sz="0" w:space="0" w:color="auto"/>
        <w:left w:val="none" w:sz="0" w:space="0" w:color="auto"/>
        <w:bottom w:val="none" w:sz="0" w:space="0" w:color="auto"/>
        <w:right w:val="none" w:sz="0" w:space="0" w:color="auto"/>
      </w:divBdr>
      <w:divsChild>
        <w:div w:id="1441490106">
          <w:marLeft w:val="0"/>
          <w:marRight w:val="0"/>
          <w:marTop w:val="0"/>
          <w:marBottom w:val="0"/>
          <w:divBdr>
            <w:top w:val="single" w:sz="6" w:space="15" w:color="C9C9C9"/>
            <w:left w:val="single" w:sz="6" w:space="15" w:color="C9C9C9"/>
            <w:bottom w:val="single" w:sz="6" w:space="15" w:color="C9C9C9"/>
            <w:right w:val="single" w:sz="6" w:space="15" w:color="C9C9C9"/>
          </w:divBdr>
        </w:div>
      </w:divsChild>
    </w:div>
    <w:div w:id="1691951214">
      <w:bodyDiv w:val="1"/>
      <w:marLeft w:val="0"/>
      <w:marRight w:val="0"/>
      <w:marTop w:val="0"/>
      <w:marBottom w:val="0"/>
      <w:divBdr>
        <w:top w:val="none" w:sz="0" w:space="0" w:color="auto"/>
        <w:left w:val="none" w:sz="0" w:space="0" w:color="auto"/>
        <w:bottom w:val="none" w:sz="0" w:space="0" w:color="auto"/>
        <w:right w:val="none" w:sz="0" w:space="0" w:color="auto"/>
      </w:divBdr>
      <w:divsChild>
        <w:div w:id="378942590">
          <w:marLeft w:val="0"/>
          <w:marRight w:val="0"/>
          <w:marTop w:val="0"/>
          <w:marBottom w:val="0"/>
          <w:divBdr>
            <w:top w:val="none" w:sz="0" w:space="0" w:color="auto"/>
            <w:left w:val="none" w:sz="0" w:space="0" w:color="auto"/>
            <w:bottom w:val="none" w:sz="0" w:space="0" w:color="auto"/>
            <w:right w:val="none" w:sz="0" w:space="0" w:color="auto"/>
          </w:divBdr>
          <w:divsChild>
            <w:div w:id="276721672">
              <w:marLeft w:val="0"/>
              <w:marRight w:val="0"/>
              <w:marTop w:val="0"/>
              <w:marBottom w:val="0"/>
              <w:divBdr>
                <w:top w:val="none" w:sz="0" w:space="0" w:color="auto"/>
                <w:left w:val="none" w:sz="0" w:space="0" w:color="auto"/>
                <w:bottom w:val="none" w:sz="0" w:space="0" w:color="auto"/>
                <w:right w:val="none" w:sz="0" w:space="0" w:color="auto"/>
              </w:divBdr>
              <w:divsChild>
                <w:div w:id="96739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993720">
      <w:bodyDiv w:val="1"/>
      <w:marLeft w:val="0"/>
      <w:marRight w:val="0"/>
      <w:marTop w:val="0"/>
      <w:marBottom w:val="0"/>
      <w:divBdr>
        <w:top w:val="none" w:sz="0" w:space="0" w:color="auto"/>
        <w:left w:val="none" w:sz="0" w:space="0" w:color="auto"/>
        <w:bottom w:val="none" w:sz="0" w:space="0" w:color="auto"/>
        <w:right w:val="none" w:sz="0" w:space="0" w:color="auto"/>
      </w:divBdr>
      <w:divsChild>
        <w:div w:id="296761824">
          <w:marLeft w:val="0"/>
          <w:marRight w:val="0"/>
          <w:marTop w:val="0"/>
          <w:marBottom w:val="0"/>
          <w:divBdr>
            <w:top w:val="none" w:sz="0" w:space="0" w:color="auto"/>
            <w:left w:val="none" w:sz="0" w:space="0" w:color="auto"/>
            <w:bottom w:val="none" w:sz="0" w:space="0" w:color="auto"/>
            <w:right w:val="none" w:sz="0" w:space="0" w:color="auto"/>
          </w:divBdr>
          <w:divsChild>
            <w:div w:id="1789855284">
              <w:marLeft w:val="0"/>
              <w:marRight w:val="0"/>
              <w:marTop w:val="0"/>
              <w:marBottom w:val="0"/>
              <w:divBdr>
                <w:top w:val="none" w:sz="0" w:space="0" w:color="auto"/>
                <w:left w:val="none" w:sz="0" w:space="0" w:color="auto"/>
                <w:bottom w:val="none" w:sz="0" w:space="0" w:color="auto"/>
                <w:right w:val="none" w:sz="0" w:space="0" w:color="auto"/>
              </w:divBdr>
              <w:divsChild>
                <w:div w:id="556016145">
                  <w:marLeft w:val="0"/>
                  <w:marRight w:val="0"/>
                  <w:marTop w:val="0"/>
                  <w:marBottom w:val="0"/>
                  <w:divBdr>
                    <w:top w:val="none" w:sz="0" w:space="0" w:color="auto"/>
                    <w:left w:val="none" w:sz="0" w:space="0" w:color="auto"/>
                    <w:bottom w:val="none" w:sz="0" w:space="0" w:color="auto"/>
                    <w:right w:val="none" w:sz="0" w:space="0" w:color="auto"/>
                  </w:divBdr>
                  <w:divsChild>
                    <w:div w:id="2061781658">
                      <w:marLeft w:val="0"/>
                      <w:marRight w:val="0"/>
                      <w:marTop w:val="0"/>
                      <w:marBottom w:val="0"/>
                      <w:divBdr>
                        <w:top w:val="none" w:sz="0" w:space="0" w:color="auto"/>
                        <w:left w:val="none" w:sz="0" w:space="0" w:color="auto"/>
                        <w:bottom w:val="none" w:sz="0" w:space="0" w:color="auto"/>
                        <w:right w:val="none" w:sz="0" w:space="0" w:color="auto"/>
                      </w:divBdr>
                      <w:divsChild>
                        <w:div w:id="116204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137800">
      <w:bodyDiv w:val="1"/>
      <w:marLeft w:val="0"/>
      <w:marRight w:val="0"/>
      <w:marTop w:val="0"/>
      <w:marBottom w:val="0"/>
      <w:divBdr>
        <w:top w:val="none" w:sz="0" w:space="0" w:color="auto"/>
        <w:left w:val="none" w:sz="0" w:space="0" w:color="auto"/>
        <w:bottom w:val="none" w:sz="0" w:space="0" w:color="auto"/>
        <w:right w:val="none" w:sz="0" w:space="0" w:color="auto"/>
      </w:divBdr>
    </w:div>
    <w:div w:id="202979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ivildefence.govt.nz" TargetMode="External"/><Relationship Id="rId18" Type="http://schemas.openxmlformats.org/officeDocument/2006/relationships/image" Target="media/image3.jpeg"/><Relationship Id="rId26" Type="http://schemas.openxmlformats.org/officeDocument/2006/relationships/image" Target="media/image6.png"/><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yperlink" Target="http://www.gns.cri.nz/" TargetMode="External"/><Relationship Id="rId42" Type="http://schemas.openxmlformats.org/officeDocument/2006/relationships/hyperlink" Target="http://www.fema.gov/media-library-data/20130726-1641-20490-9063/femap646.pdf" TargetMode="External"/><Relationship Id="rId47" Type="http://schemas.openxmlformats.org/officeDocument/2006/relationships/header" Target="header3.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image" Target="media/image5.jpeg"/><Relationship Id="rId33" Type="http://schemas.openxmlformats.org/officeDocument/2006/relationships/image" Target="media/image12.jpeg"/><Relationship Id="rId38" Type="http://schemas.openxmlformats.org/officeDocument/2006/relationships/image" Target="media/image16.jpeg"/><Relationship Id="rId46"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yperlink" Target="http://www.civildefence.govt.nz" TargetMode="External"/><Relationship Id="rId20" Type="http://schemas.openxmlformats.org/officeDocument/2006/relationships/header" Target="header2.xml"/><Relationship Id="rId29" Type="http://schemas.openxmlformats.org/officeDocument/2006/relationships/image" Target="media/image8.png"/><Relationship Id="rId41" Type="http://schemas.openxmlformats.org/officeDocument/2006/relationships/hyperlink" Target="http://www.bousai.go.jp/jishin/tsunami/hinan/hinanbiru.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image" Target="media/image11.jpe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yperlink" Target="http://www.civildefence.govt.nz" TargetMode="External"/><Relationship Id="rId5" Type="http://schemas.openxmlformats.org/officeDocument/2006/relationships/settings" Target="settings.xml"/><Relationship Id="rId15" Type="http://schemas.openxmlformats.org/officeDocument/2006/relationships/hyperlink" Target="mailto:emergency.management@dpmc.govt.nz" TargetMode="External"/><Relationship Id="rId23" Type="http://schemas.openxmlformats.org/officeDocument/2006/relationships/footer" Target="footer6.xml"/><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footer" Target="footer9.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image" Target="media/image10.jpeg"/><Relationship Id="rId44" Type="http://schemas.openxmlformats.org/officeDocument/2006/relationships/hyperlink" Target="http://www.atcouncil.org/files/FEMA%20P-646%20Final.pdf"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footer" Target="footer5.xml"/><Relationship Id="rId27" Type="http://schemas.openxmlformats.org/officeDocument/2006/relationships/hyperlink" Target="http://www.civildefence.govt.nz" TargetMode="External"/><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hyperlink" Target="http://www.fema.gov/media-library-data/20130726-1719-25045-1822/fema_p646a.pdf" TargetMode="External"/><Relationship Id="rId48"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MCDEM\MCDEM%20templates\MCDEM%20DGL%20Template%20v1-3%202015-07-01%20HJ.dotx" TargetMode="External"/></Relationships>
</file>

<file path=word/theme/theme1.xml><?xml version="1.0" encoding="utf-8"?>
<a:theme xmlns:a="http://schemas.openxmlformats.org/drawingml/2006/main" name="Office Theme">
  <a:themeElements>
    <a:clrScheme name="MCDEM">
      <a:dk1>
        <a:srgbClr val="000000"/>
      </a:dk1>
      <a:lt1>
        <a:srgbClr val="FFFFFF"/>
      </a:lt1>
      <a:dk2>
        <a:srgbClr val="FFF200"/>
      </a:dk2>
      <a:lt2>
        <a:srgbClr val="005A9B"/>
      </a:lt2>
      <a:accent1>
        <a:srgbClr val="AFAFAF"/>
      </a:accent1>
      <a:accent2>
        <a:srgbClr val="9B2703"/>
      </a:accent2>
      <a:accent3>
        <a:srgbClr val="4145DF"/>
      </a:accent3>
      <a:accent4>
        <a:srgbClr val="A3A3A3"/>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35ACC6-A478-4EF9-8C45-09F9A701F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MCDEM DGL Template v1-3 2015-07-01 HJ</Template>
  <TotalTime>2</TotalTime>
  <Pages>46</Pages>
  <Words>11346</Words>
  <Characters>64673</Characters>
  <Application>Microsoft Office Word</Application>
  <DocSecurity>8</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DIA</Company>
  <LinksUpToDate>false</LinksUpToDate>
  <CharactersWithSpaces>75868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Iona Wassilieff</cp:lastModifiedBy>
  <cp:revision>3</cp:revision>
  <cp:lastPrinted>2016-02-09T00:18:00Z</cp:lastPrinted>
  <dcterms:created xsi:type="dcterms:W3CDTF">2016-02-15T22:04:00Z</dcterms:created>
  <dcterms:modified xsi:type="dcterms:W3CDTF">2016-02-16T02:32:00Z</dcterms:modified>
</cp:coreProperties>
</file>